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16B34" w14:paraId="322EF0DF" w14:textId="77777777" w:rsidTr="004B3188">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16B34" w14:paraId="67D60646" w14:textId="77777777" w:rsidTr="004B3188">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2CEEC853" w:rsidR="00333FAA" w:rsidRPr="00ED2273" w:rsidRDefault="005B3D80" w:rsidP="00A53B04">
            <w:pPr>
              <w:rPr>
                <w:rFonts w:cs="Arial"/>
                <w:szCs w:val="24"/>
              </w:rPr>
            </w:pPr>
            <w:r>
              <w:rPr>
                <w:rFonts w:cs="Arial"/>
                <w:szCs w:val="24"/>
              </w:rPr>
              <w:t>23</w:t>
            </w:r>
            <w:r w:rsidRPr="005B3D80">
              <w:rPr>
                <w:rFonts w:cs="Arial"/>
                <w:szCs w:val="24"/>
                <w:vertAlign w:val="superscript"/>
              </w:rPr>
              <w:t>rd</w:t>
            </w:r>
            <w:r>
              <w:rPr>
                <w:rFonts w:cs="Arial"/>
                <w:szCs w:val="24"/>
              </w:rPr>
              <w:t xml:space="preserve"> </w:t>
            </w:r>
            <w:r w:rsidR="00316B34" w:rsidRPr="00ED2273">
              <w:rPr>
                <w:rFonts w:cs="Arial"/>
                <w:szCs w:val="24"/>
              </w:rPr>
              <w:t>September 2021</w:t>
            </w:r>
          </w:p>
        </w:tc>
      </w:tr>
      <w:tr w:rsidR="00316B34" w14:paraId="3CC97725" w14:textId="77777777" w:rsidTr="004B3188">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1E3A673B" w14:textId="77777777" w:rsidR="00690222" w:rsidRDefault="00316B34" w:rsidP="00A53B04">
            <w:pPr>
              <w:rPr>
                <w:rFonts w:cs="Arial"/>
                <w:szCs w:val="24"/>
              </w:rPr>
            </w:pPr>
            <w:r w:rsidRPr="00ED2273">
              <w:rPr>
                <w:rFonts w:cs="Arial"/>
                <w:szCs w:val="24"/>
              </w:rPr>
              <w:t>Harrow Young People’s substance Misuse Service</w:t>
            </w:r>
          </w:p>
          <w:p w14:paraId="6D8FB2C1" w14:textId="2DD34CEA" w:rsidR="009B7154" w:rsidRPr="00ED2273" w:rsidRDefault="009B7154" w:rsidP="00A53B04">
            <w:pPr>
              <w:rPr>
                <w:rFonts w:cs="Arial"/>
                <w:szCs w:val="24"/>
              </w:rPr>
            </w:pPr>
          </w:p>
        </w:tc>
      </w:tr>
      <w:tr w:rsidR="00316B34" w14:paraId="32449166" w14:textId="77777777" w:rsidTr="004B3188">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2" w:type="dxa"/>
          </w:tcPr>
          <w:p w14:paraId="6D1B2CD3" w14:textId="5B481136" w:rsidR="001C7E35" w:rsidRPr="00ED2273" w:rsidRDefault="001C7E35" w:rsidP="001C7E35">
            <w:pPr>
              <w:pStyle w:val="Infotext"/>
              <w:rPr>
                <w:rFonts w:cs="Arial"/>
                <w:sz w:val="24"/>
                <w:szCs w:val="24"/>
              </w:rPr>
            </w:pPr>
            <w:r w:rsidRPr="00ED2273">
              <w:rPr>
                <w:rFonts w:cs="Arial"/>
                <w:sz w:val="24"/>
                <w:szCs w:val="24"/>
              </w:rPr>
              <w:t xml:space="preserve">Yes </w:t>
            </w:r>
          </w:p>
          <w:p w14:paraId="3EADF2B3" w14:textId="77777777" w:rsidR="00333FAA" w:rsidRPr="00ED2273" w:rsidRDefault="00333FAA" w:rsidP="00316B34">
            <w:pPr>
              <w:pStyle w:val="Infotext"/>
              <w:rPr>
                <w:rFonts w:cs="Arial"/>
                <w:sz w:val="24"/>
                <w:szCs w:val="24"/>
              </w:rPr>
            </w:pPr>
          </w:p>
        </w:tc>
      </w:tr>
      <w:tr w:rsidR="00316B34" w14:paraId="79E96200" w14:textId="77777777" w:rsidTr="004B3188">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34BE7A1B" w14:textId="3E81D58E" w:rsidR="004B3188" w:rsidRPr="00ED2273" w:rsidRDefault="00316B34" w:rsidP="00D835CF">
            <w:pPr>
              <w:pStyle w:val="Infotext"/>
              <w:rPr>
                <w:rFonts w:cs="Arial"/>
                <w:sz w:val="24"/>
                <w:szCs w:val="24"/>
              </w:rPr>
            </w:pPr>
            <w:r w:rsidRPr="00ED2273">
              <w:rPr>
                <w:rFonts w:cs="Arial"/>
                <w:sz w:val="24"/>
                <w:szCs w:val="24"/>
              </w:rPr>
              <w:t>Carole Furlong</w:t>
            </w:r>
            <w:r w:rsidR="009B7154">
              <w:rPr>
                <w:rFonts w:cs="Arial"/>
                <w:sz w:val="24"/>
                <w:szCs w:val="24"/>
              </w:rPr>
              <w:t xml:space="preserve"> - </w:t>
            </w:r>
            <w:r w:rsidRPr="00ED2273">
              <w:rPr>
                <w:rFonts w:cs="Arial"/>
                <w:sz w:val="24"/>
                <w:szCs w:val="24"/>
              </w:rPr>
              <w:t>Director of Public Health</w:t>
            </w:r>
          </w:p>
          <w:p w14:paraId="649EB528" w14:textId="5C77798D" w:rsidR="001C7E35" w:rsidRPr="00ED2273" w:rsidRDefault="001C7E35" w:rsidP="00D835CF">
            <w:pPr>
              <w:pStyle w:val="Infotext"/>
              <w:rPr>
                <w:rFonts w:cs="Arial"/>
                <w:sz w:val="24"/>
                <w:szCs w:val="24"/>
              </w:rPr>
            </w:pPr>
          </w:p>
          <w:p w14:paraId="3798BF23" w14:textId="77777777" w:rsidR="001C7E35" w:rsidRPr="00ED2273" w:rsidRDefault="001C7E35" w:rsidP="00D835CF">
            <w:pPr>
              <w:pStyle w:val="Infotext"/>
              <w:rPr>
                <w:rFonts w:cs="Arial"/>
                <w:sz w:val="24"/>
                <w:szCs w:val="24"/>
              </w:rPr>
            </w:pPr>
          </w:p>
        </w:tc>
      </w:tr>
      <w:tr w:rsidR="004B3188" w14:paraId="3B6FD8B1" w14:textId="77777777" w:rsidTr="004B3188">
        <w:tc>
          <w:tcPr>
            <w:tcW w:w="3397" w:type="dxa"/>
          </w:tcPr>
          <w:p w14:paraId="0961945D" w14:textId="77777777" w:rsidR="004B3188" w:rsidRPr="00C13A5F" w:rsidRDefault="004B3188" w:rsidP="004B3188">
            <w:pPr>
              <w:pStyle w:val="Infotext"/>
              <w:spacing w:after="240"/>
              <w:rPr>
                <w:rFonts w:ascii="Arial Black" w:hAnsi="Arial Black"/>
              </w:rPr>
            </w:pPr>
            <w:r w:rsidRPr="00DB6C3D">
              <w:rPr>
                <w:rFonts w:ascii="Arial Black" w:hAnsi="Arial Black"/>
              </w:rPr>
              <w:t>Portfolio Holder:</w:t>
            </w:r>
          </w:p>
        </w:tc>
        <w:tc>
          <w:tcPr>
            <w:tcW w:w="4912" w:type="dxa"/>
          </w:tcPr>
          <w:p w14:paraId="2744D3AE" w14:textId="582B1464" w:rsidR="004B3188" w:rsidRPr="00ED2273" w:rsidRDefault="004B3188" w:rsidP="004B3188">
            <w:pPr>
              <w:rPr>
                <w:szCs w:val="24"/>
              </w:rPr>
            </w:pPr>
            <w:r w:rsidRPr="00ED2273">
              <w:rPr>
                <w:szCs w:val="24"/>
              </w:rPr>
              <w:t>Cllr Krishna Suresh</w:t>
            </w:r>
            <w:r w:rsidR="003F45F0">
              <w:rPr>
                <w:szCs w:val="24"/>
              </w:rPr>
              <w:t xml:space="preserve"> -</w:t>
            </w:r>
            <w:r w:rsidR="009B7154">
              <w:rPr>
                <w:szCs w:val="24"/>
              </w:rPr>
              <w:t xml:space="preserve"> </w:t>
            </w:r>
            <w:r w:rsidRPr="00ED2273">
              <w:rPr>
                <w:rFonts w:cs="Arial"/>
                <w:szCs w:val="24"/>
                <w:lang w:val="en"/>
              </w:rPr>
              <w:t>Portfolio Holder</w:t>
            </w:r>
            <w:r w:rsidR="00F5285A">
              <w:rPr>
                <w:rFonts w:cs="Arial"/>
                <w:szCs w:val="24"/>
                <w:lang w:val="en"/>
              </w:rPr>
              <w:t xml:space="preserve"> </w:t>
            </w:r>
            <w:r w:rsidR="009B7154">
              <w:rPr>
                <w:rFonts w:cs="Arial"/>
                <w:szCs w:val="24"/>
                <w:lang w:val="en"/>
              </w:rPr>
              <w:t xml:space="preserve">for </w:t>
            </w:r>
            <w:r w:rsidR="009B7154" w:rsidRPr="00ED2273">
              <w:rPr>
                <w:rFonts w:cs="Arial"/>
                <w:szCs w:val="24"/>
                <w:lang w:val="en"/>
              </w:rPr>
              <w:t>Equalities</w:t>
            </w:r>
            <w:r w:rsidRPr="00ED2273">
              <w:rPr>
                <w:szCs w:val="24"/>
              </w:rPr>
              <w:t xml:space="preserve"> &amp; Public Health</w:t>
            </w:r>
          </w:p>
          <w:p w14:paraId="16797C86" w14:textId="5113A632" w:rsidR="004B3188" w:rsidRPr="00ED2273" w:rsidRDefault="000A7DD6" w:rsidP="004B3188">
            <w:pPr>
              <w:rPr>
                <w:rFonts w:cs="Arial"/>
                <w:szCs w:val="24"/>
                <w:lang w:val="en"/>
              </w:rPr>
            </w:pPr>
            <w:hyperlink r:id="rId14" w:history="1"/>
          </w:p>
          <w:p w14:paraId="31EC826A" w14:textId="43A2C242" w:rsidR="004B3188" w:rsidRPr="00ED2273" w:rsidRDefault="004B3188" w:rsidP="004B3188">
            <w:pPr>
              <w:rPr>
                <w:rFonts w:cs="Arial"/>
                <w:szCs w:val="24"/>
                <w:lang w:val="en"/>
              </w:rPr>
            </w:pPr>
            <w:r w:rsidRPr="00ED2273">
              <w:rPr>
                <w:rFonts w:cs="Arial"/>
                <w:szCs w:val="24"/>
                <w:lang w:val="en"/>
              </w:rPr>
              <w:t>Cllr Natasha Proctor</w:t>
            </w:r>
            <w:r w:rsidR="009B7154">
              <w:rPr>
                <w:rFonts w:cs="Arial"/>
                <w:szCs w:val="24"/>
                <w:lang w:val="en"/>
              </w:rPr>
              <w:t xml:space="preserve"> - </w:t>
            </w:r>
            <w:r w:rsidRPr="00ED2273">
              <w:rPr>
                <w:rFonts w:cs="Arial"/>
                <w:szCs w:val="24"/>
                <w:lang w:val="en"/>
              </w:rPr>
              <w:t>Deputy Leader of the Council and Portfolio Holder</w:t>
            </w:r>
            <w:r w:rsidR="003F45F0">
              <w:rPr>
                <w:rFonts w:cs="Arial"/>
                <w:szCs w:val="24"/>
                <w:lang w:val="en"/>
              </w:rPr>
              <w:t xml:space="preserve"> for</w:t>
            </w:r>
            <w:r w:rsidRPr="00ED2273">
              <w:rPr>
                <w:rFonts w:cs="Arial"/>
                <w:szCs w:val="24"/>
                <w:lang w:val="en"/>
              </w:rPr>
              <w:t xml:space="preserve"> Finance &amp; Resources </w:t>
            </w:r>
          </w:p>
          <w:p w14:paraId="39A9A01A" w14:textId="008B69CF" w:rsidR="004B3188" w:rsidRPr="00ED2273" w:rsidRDefault="004B3188" w:rsidP="009B7154">
            <w:pPr>
              <w:rPr>
                <w:rFonts w:cs="Arial"/>
                <w:color w:val="FF0000"/>
                <w:szCs w:val="24"/>
              </w:rPr>
            </w:pPr>
          </w:p>
        </w:tc>
      </w:tr>
      <w:tr w:rsidR="004B3188" w14:paraId="3CF618C8" w14:textId="77777777" w:rsidTr="004B3188">
        <w:tc>
          <w:tcPr>
            <w:tcW w:w="3397" w:type="dxa"/>
          </w:tcPr>
          <w:p w14:paraId="4CD8D092" w14:textId="77777777" w:rsidR="004B3188" w:rsidRPr="00C13A5F" w:rsidRDefault="004B3188" w:rsidP="004B3188">
            <w:pPr>
              <w:pStyle w:val="Infotext"/>
              <w:spacing w:after="240"/>
              <w:rPr>
                <w:rFonts w:ascii="Arial Black" w:hAnsi="Arial Black"/>
              </w:rPr>
            </w:pPr>
            <w:r w:rsidRPr="00DB6C3D">
              <w:rPr>
                <w:rFonts w:ascii="Arial Black" w:hAnsi="Arial Black"/>
              </w:rPr>
              <w:t>Exempt:</w:t>
            </w:r>
          </w:p>
        </w:tc>
        <w:tc>
          <w:tcPr>
            <w:tcW w:w="4912" w:type="dxa"/>
          </w:tcPr>
          <w:p w14:paraId="34C65BD0" w14:textId="278CE4F4" w:rsidR="004B3188" w:rsidRPr="00ED2273" w:rsidRDefault="004B3188" w:rsidP="004B3188">
            <w:pPr>
              <w:pStyle w:val="Infotext"/>
              <w:rPr>
                <w:rFonts w:cs="Arial"/>
                <w:sz w:val="24"/>
                <w:szCs w:val="24"/>
              </w:rPr>
            </w:pPr>
            <w:r w:rsidRPr="00ED2273">
              <w:rPr>
                <w:rFonts w:cs="Arial"/>
                <w:sz w:val="24"/>
                <w:szCs w:val="24"/>
              </w:rPr>
              <w:t>No</w:t>
            </w:r>
          </w:p>
          <w:p w14:paraId="755E47D1" w14:textId="77777777" w:rsidR="004B3188" w:rsidRPr="00ED2273" w:rsidRDefault="004B3188" w:rsidP="004B3188">
            <w:pPr>
              <w:pStyle w:val="Infotext"/>
              <w:rPr>
                <w:rFonts w:cs="Arial"/>
                <w:color w:val="FF0000"/>
                <w:sz w:val="24"/>
                <w:szCs w:val="24"/>
              </w:rPr>
            </w:pPr>
          </w:p>
        </w:tc>
      </w:tr>
      <w:tr w:rsidR="004B3188" w14:paraId="577CD75A" w14:textId="77777777" w:rsidTr="004B3188">
        <w:tc>
          <w:tcPr>
            <w:tcW w:w="3397" w:type="dxa"/>
          </w:tcPr>
          <w:p w14:paraId="1195A375" w14:textId="20A10905" w:rsidR="004B3188" w:rsidRDefault="004B3188" w:rsidP="00675CB0">
            <w:pPr>
              <w:pStyle w:val="Infotext"/>
              <w:rPr>
                <w:rFonts w:ascii="Arial Black" w:hAnsi="Arial Black"/>
              </w:rPr>
            </w:pPr>
            <w:r w:rsidRPr="00DB6C3D">
              <w:rPr>
                <w:rFonts w:ascii="Arial Black" w:hAnsi="Arial Black"/>
              </w:rPr>
              <w:t>Decision subject to</w:t>
            </w:r>
          </w:p>
          <w:p w14:paraId="075B9755" w14:textId="77777777" w:rsidR="004B3188" w:rsidRDefault="004B3188" w:rsidP="00675CB0">
            <w:pPr>
              <w:pStyle w:val="Infotext"/>
              <w:rPr>
                <w:rFonts w:ascii="Arial Black" w:hAnsi="Arial Black"/>
              </w:rPr>
            </w:pPr>
            <w:r w:rsidRPr="00DB6C3D">
              <w:rPr>
                <w:rFonts w:ascii="Arial Black" w:hAnsi="Arial Black"/>
              </w:rPr>
              <w:t>Call-in:</w:t>
            </w:r>
          </w:p>
          <w:p w14:paraId="4821943C" w14:textId="38394011" w:rsidR="00675CB0" w:rsidRPr="00C13A5F" w:rsidRDefault="00675CB0" w:rsidP="00675CB0">
            <w:pPr>
              <w:pStyle w:val="Infotext"/>
              <w:rPr>
                <w:rFonts w:ascii="Arial Black" w:hAnsi="Arial Black"/>
              </w:rPr>
            </w:pPr>
          </w:p>
        </w:tc>
        <w:tc>
          <w:tcPr>
            <w:tcW w:w="4912" w:type="dxa"/>
          </w:tcPr>
          <w:p w14:paraId="4B40AAFF" w14:textId="77777777" w:rsidR="004B3188" w:rsidRPr="00ED2273" w:rsidRDefault="004B3188" w:rsidP="004B3188">
            <w:pPr>
              <w:pStyle w:val="Infotext"/>
              <w:rPr>
                <w:rFonts w:cs="Arial"/>
                <w:sz w:val="24"/>
                <w:szCs w:val="24"/>
              </w:rPr>
            </w:pPr>
            <w:r w:rsidRPr="00ED2273">
              <w:rPr>
                <w:rFonts w:cs="Arial"/>
                <w:sz w:val="24"/>
                <w:szCs w:val="24"/>
              </w:rPr>
              <w:t>Yes</w:t>
            </w:r>
          </w:p>
          <w:p w14:paraId="55663C98" w14:textId="77777777" w:rsidR="004B3188" w:rsidRPr="00ED2273" w:rsidRDefault="004B3188" w:rsidP="004B3188">
            <w:pPr>
              <w:rPr>
                <w:rFonts w:cs="Arial"/>
                <w:szCs w:val="24"/>
              </w:rPr>
            </w:pPr>
          </w:p>
          <w:p w14:paraId="3A75E271" w14:textId="59847F1B" w:rsidR="004B3188" w:rsidRPr="0079405F" w:rsidRDefault="004B3188" w:rsidP="004B3188">
            <w:pPr>
              <w:rPr>
                <w:rFonts w:cs="Arial"/>
                <w:strike/>
                <w:szCs w:val="24"/>
              </w:rPr>
            </w:pPr>
          </w:p>
        </w:tc>
      </w:tr>
      <w:tr w:rsidR="004B3188" w14:paraId="7E5497E1" w14:textId="77777777" w:rsidTr="004B3188">
        <w:tc>
          <w:tcPr>
            <w:tcW w:w="3397" w:type="dxa"/>
          </w:tcPr>
          <w:p w14:paraId="6B5E6A6A" w14:textId="77777777" w:rsidR="004B3188" w:rsidRPr="00C13A5F" w:rsidRDefault="004B3188" w:rsidP="004B3188">
            <w:pPr>
              <w:pStyle w:val="Infotext"/>
              <w:spacing w:after="240"/>
              <w:rPr>
                <w:rFonts w:ascii="Arial Black" w:hAnsi="Arial Black" w:cs="Arial"/>
              </w:rPr>
            </w:pPr>
            <w:r>
              <w:rPr>
                <w:rFonts w:ascii="Arial Black" w:hAnsi="Arial Black" w:cs="Arial"/>
              </w:rPr>
              <w:t>Wards affected:</w:t>
            </w:r>
          </w:p>
        </w:tc>
        <w:tc>
          <w:tcPr>
            <w:tcW w:w="4912" w:type="dxa"/>
          </w:tcPr>
          <w:p w14:paraId="52E38AE7" w14:textId="024B4CCE" w:rsidR="004B3188" w:rsidRPr="00ED2273" w:rsidRDefault="004B3188" w:rsidP="004B3188">
            <w:pPr>
              <w:rPr>
                <w:rFonts w:cs="Arial"/>
                <w:b/>
                <w:color w:val="FF0000"/>
                <w:szCs w:val="24"/>
              </w:rPr>
            </w:pPr>
            <w:r w:rsidRPr="00ED2273">
              <w:rPr>
                <w:rFonts w:cs="Arial"/>
                <w:szCs w:val="24"/>
              </w:rPr>
              <w:t>All</w:t>
            </w:r>
          </w:p>
        </w:tc>
      </w:tr>
      <w:tr w:rsidR="004B3188" w14:paraId="5F1445BF" w14:textId="77777777" w:rsidTr="004B3188">
        <w:tc>
          <w:tcPr>
            <w:tcW w:w="3397" w:type="dxa"/>
          </w:tcPr>
          <w:p w14:paraId="0E539C63" w14:textId="77777777" w:rsidR="004B3188" w:rsidRPr="00C13A5F" w:rsidRDefault="004B3188" w:rsidP="004B3188">
            <w:pPr>
              <w:pStyle w:val="Infotext"/>
              <w:spacing w:after="240"/>
              <w:rPr>
                <w:rFonts w:ascii="Arial Black" w:hAnsi="Arial Black" w:cs="Arial"/>
              </w:rPr>
            </w:pPr>
            <w:r w:rsidRPr="00C13A5F">
              <w:rPr>
                <w:rFonts w:ascii="Arial Black" w:hAnsi="Arial Black" w:cs="Arial"/>
              </w:rPr>
              <w:t>Enclosures:</w:t>
            </w:r>
          </w:p>
        </w:tc>
        <w:tc>
          <w:tcPr>
            <w:tcW w:w="4912" w:type="dxa"/>
          </w:tcPr>
          <w:p w14:paraId="505D9738" w14:textId="560326A8" w:rsidR="004B3188" w:rsidRPr="009B7154" w:rsidRDefault="004B3188" w:rsidP="009B7154">
            <w:pPr>
              <w:pStyle w:val="Heading3"/>
              <w:ind w:left="0" w:firstLine="0"/>
              <w:outlineLvl w:val="2"/>
              <w:rPr>
                <w:b w:val="0"/>
                <w:bCs w:val="0"/>
                <w:iCs/>
                <w:sz w:val="24"/>
                <w:szCs w:val="24"/>
              </w:rPr>
            </w:pPr>
            <w:r w:rsidRPr="00ED2273">
              <w:rPr>
                <w:b w:val="0"/>
                <w:iCs/>
                <w:sz w:val="24"/>
                <w:szCs w:val="24"/>
              </w:rPr>
              <w:t xml:space="preserve">Appendix A: </w:t>
            </w:r>
            <w:r w:rsidRPr="009B7154">
              <w:rPr>
                <w:b w:val="0"/>
                <w:bCs w:val="0"/>
                <w:iCs/>
                <w:sz w:val="24"/>
                <w:szCs w:val="24"/>
              </w:rPr>
              <w:t>Equalities Impact Assessment</w:t>
            </w:r>
          </w:p>
          <w:p w14:paraId="73FE9CD2" w14:textId="77777777" w:rsidR="004B3188" w:rsidRPr="00ED2273" w:rsidRDefault="004B3188" w:rsidP="004B3188">
            <w:pPr>
              <w:pStyle w:val="Infotext"/>
              <w:rPr>
                <w:rFonts w:cs="Arial"/>
                <w:color w:val="FF0000"/>
                <w:sz w:val="24"/>
                <w:szCs w:val="24"/>
              </w:rPr>
            </w:pPr>
          </w:p>
          <w:p w14:paraId="010CAB7A" w14:textId="77777777" w:rsidR="004B3188" w:rsidRPr="00ED2273" w:rsidRDefault="004B3188" w:rsidP="004B3188">
            <w:pPr>
              <w:pStyle w:val="Infotext"/>
              <w:rPr>
                <w:rFonts w:cs="Arial"/>
                <w:color w:val="FF0000"/>
                <w:sz w:val="24"/>
                <w:szCs w:val="24"/>
              </w:rPr>
            </w:pPr>
          </w:p>
          <w:p w14:paraId="5110B395" w14:textId="77777777" w:rsidR="004B3188" w:rsidRPr="00ED2273" w:rsidRDefault="004B3188" w:rsidP="004B3188">
            <w:pPr>
              <w:pStyle w:val="Infotext"/>
              <w:rPr>
                <w:rFonts w:cs="Arial"/>
                <w:color w:val="FF0000"/>
                <w:sz w:val="24"/>
                <w:szCs w:val="24"/>
              </w:rPr>
            </w:pPr>
          </w:p>
          <w:p w14:paraId="6668D730" w14:textId="5E1B1C11" w:rsidR="004B3188" w:rsidRPr="00ED2273" w:rsidRDefault="004B3188" w:rsidP="004B3188">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2880B6B5" w14:textId="6996E881" w:rsidR="002B3808" w:rsidRPr="00C12C3A" w:rsidRDefault="002B3808" w:rsidP="002B3808">
            <w:pPr>
              <w:jc w:val="both"/>
              <w:rPr>
                <w:color w:val="000000"/>
                <w:szCs w:val="24"/>
              </w:rPr>
            </w:pPr>
            <w:r w:rsidRPr="00C12C3A">
              <w:rPr>
                <w:color w:val="000000"/>
                <w:szCs w:val="24"/>
              </w:rPr>
              <w:t xml:space="preserve">This report sets out the </w:t>
            </w:r>
            <w:r>
              <w:rPr>
                <w:color w:val="000000"/>
                <w:szCs w:val="24"/>
              </w:rPr>
              <w:t>re-</w:t>
            </w:r>
            <w:r w:rsidRPr="00C12C3A">
              <w:rPr>
                <w:color w:val="000000"/>
                <w:szCs w:val="24"/>
              </w:rPr>
              <w:t>procurement that Harrow Public Health Service</w:t>
            </w:r>
            <w:r>
              <w:rPr>
                <w:color w:val="000000"/>
                <w:szCs w:val="24"/>
              </w:rPr>
              <w:t xml:space="preserve"> </w:t>
            </w:r>
            <w:r w:rsidRPr="00C12C3A">
              <w:rPr>
                <w:color w:val="000000"/>
                <w:szCs w:val="24"/>
              </w:rPr>
              <w:t>plan</w:t>
            </w:r>
            <w:r>
              <w:rPr>
                <w:color w:val="000000"/>
                <w:szCs w:val="24"/>
              </w:rPr>
              <w:t>s</w:t>
            </w:r>
            <w:r w:rsidRPr="00C12C3A">
              <w:rPr>
                <w:color w:val="000000"/>
                <w:szCs w:val="24"/>
              </w:rPr>
              <w:t xml:space="preserve"> to undertake </w:t>
            </w:r>
            <w:r>
              <w:rPr>
                <w:color w:val="000000"/>
                <w:szCs w:val="24"/>
              </w:rPr>
              <w:t xml:space="preserve">for the Harrow Young People’s Substance </w:t>
            </w:r>
            <w:r w:rsidR="006551DD">
              <w:rPr>
                <w:color w:val="000000"/>
                <w:szCs w:val="24"/>
              </w:rPr>
              <w:t>Misuse Service</w:t>
            </w:r>
            <w:r>
              <w:rPr>
                <w:color w:val="000000"/>
                <w:szCs w:val="24"/>
              </w:rPr>
              <w:t>.</w:t>
            </w:r>
          </w:p>
          <w:p w14:paraId="02274D72" w14:textId="5CAF3B0F" w:rsidR="001C7E35" w:rsidRPr="00605A4C" w:rsidRDefault="00605A4C" w:rsidP="00E13BEF">
            <w:pPr>
              <w:pStyle w:val="Heading3"/>
              <w:spacing w:before="240"/>
            </w:pPr>
            <w:r>
              <w:t>Recommen</w:t>
            </w:r>
            <w:r w:rsidR="001C7E35" w:rsidRPr="00605A4C">
              <w:t xml:space="preserve">dations: </w:t>
            </w:r>
          </w:p>
          <w:p w14:paraId="38D2B60D" w14:textId="1B057559" w:rsidR="001C7E35" w:rsidRDefault="001C7E35" w:rsidP="00605A4C">
            <w:r>
              <w:t>Cabinet is requested to:</w:t>
            </w:r>
          </w:p>
          <w:p w14:paraId="3B739AEB" w14:textId="5D0AFD11" w:rsidR="004B3188" w:rsidRDefault="004B3188" w:rsidP="00605A4C"/>
          <w:p w14:paraId="16B1BE1E" w14:textId="1EC5E66D" w:rsidR="004B3188" w:rsidRPr="00D34E98" w:rsidRDefault="004B3188" w:rsidP="00DB39E0">
            <w:pPr>
              <w:numPr>
                <w:ilvl w:val="0"/>
                <w:numId w:val="2"/>
              </w:numPr>
              <w:jc w:val="both"/>
              <w:rPr>
                <w:szCs w:val="24"/>
              </w:rPr>
            </w:pPr>
            <w:r w:rsidRPr="00D34E98">
              <w:rPr>
                <w:szCs w:val="24"/>
              </w:rPr>
              <w:t xml:space="preserve">Authorise the </w:t>
            </w:r>
            <w:r w:rsidR="006551DD">
              <w:rPr>
                <w:szCs w:val="24"/>
              </w:rPr>
              <w:t>re-</w:t>
            </w:r>
            <w:r w:rsidRPr="00D34E98">
              <w:rPr>
                <w:szCs w:val="24"/>
              </w:rPr>
              <w:t>procurement of a</w:t>
            </w:r>
            <w:r>
              <w:rPr>
                <w:szCs w:val="24"/>
              </w:rPr>
              <w:t xml:space="preserve"> </w:t>
            </w:r>
            <w:r>
              <w:rPr>
                <w:rFonts w:cs="Arial"/>
                <w:szCs w:val="24"/>
              </w:rPr>
              <w:t>Young People’s</w:t>
            </w:r>
            <w:r w:rsidRPr="003504FB">
              <w:rPr>
                <w:rFonts w:cs="Arial"/>
                <w:szCs w:val="24"/>
              </w:rPr>
              <w:t xml:space="preserve"> </w:t>
            </w:r>
            <w:r w:rsidRPr="00D34E98">
              <w:rPr>
                <w:szCs w:val="24"/>
              </w:rPr>
              <w:t>Substance Misuse Service.</w:t>
            </w:r>
          </w:p>
          <w:p w14:paraId="60F6CB07" w14:textId="363597DA" w:rsidR="004B3188" w:rsidRDefault="004B3188" w:rsidP="00DB39E0">
            <w:pPr>
              <w:numPr>
                <w:ilvl w:val="0"/>
                <w:numId w:val="2"/>
              </w:numPr>
              <w:jc w:val="both"/>
            </w:pPr>
            <w:r w:rsidRPr="004B3188">
              <w:rPr>
                <w:szCs w:val="24"/>
              </w:rPr>
              <w:t xml:space="preserve">Delegate authority to award a contract for a </w:t>
            </w:r>
            <w:r w:rsidRPr="004B3188">
              <w:rPr>
                <w:rFonts w:cs="Arial"/>
                <w:szCs w:val="24"/>
              </w:rPr>
              <w:t xml:space="preserve">Young People’s </w:t>
            </w:r>
            <w:r w:rsidRPr="004B3188">
              <w:rPr>
                <w:szCs w:val="24"/>
              </w:rPr>
              <w:t xml:space="preserve">Substance Misuse Service to the Director of Public Health, following consultation with the Corporate Director of People’s Service, Chief Financial Officer and Portfolio Holders for </w:t>
            </w:r>
            <w:r w:rsidR="00024DF2">
              <w:rPr>
                <w:szCs w:val="24"/>
              </w:rPr>
              <w:t>Equalities</w:t>
            </w:r>
            <w:r w:rsidRPr="004B3188">
              <w:rPr>
                <w:rFonts w:cs="Arial"/>
                <w:szCs w:val="24"/>
                <w:lang w:val="en"/>
              </w:rPr>
              <w:t xml:space="preserve"> &amp; Public Health</w:t>
            </w:r>
            <w:r w:rsidR="003117E2">
              <w:rPr>
                <w:rFonts w:cs="Arial"/>
                <w:szCs w:val="24"/>
                <w:lang w:val="en"/>
              </w:rPr>
              <w:t>,</w:t>
            </w:r>
            <w:r w:rsidRPr="004B3188">
              <w:rPr>
                <w:rFonts w:cs="Arial"/>
                <w:szCs w:val="24"/>
                <w:lang w:val="en"/>
              </w:rPr>
              <w:t xml:space="preserve"> </w:t>
            </w:r>
            <w:r w:rsidR="00C827E1">
              <w:rPr>
                <w:rFonts w:cs="Arial"/>
                <w:szCs w:val="24"/>
                <w:lang w:val="en"/>
              </w:rPr>
              <w:t xml:space="preserve">and </w:t>
            </w:r>
            <w:r w:rsidRPr="004B3188">
              <w:rPr>
                <w:szCs w:val="24"/>
              </w:rPr>
              <w:t>Finance &amp; Major Contracts</w:t>
            </w:r>
            <w:r w:rsidR="001F28B4">
              <w:rPr>
                <w:szCs w:val="24"/>
              </w:rPr>
              <w:t xml:space="preserve">, </w:t>
            </w:r>
            <w:r w:rsidR="003117E2">
              <w:rPr>
                <w:szCs w:val="24"/>
              </w:rPr>
              <w:t>and</w:t>
            </w:r>
            <w:r w:rsidR="003117E2" w:rsidRPr="003117E2">
              <w:rPr>
                <w:szCs w:val="24"/>
              </w:rPr>
              <w:t xml:space="preserve"> Children </w:t>
            </w:r>
            <w:r w:rsidR="00155FDA">
              <w:rPr>
                <w:szCs w:val="24"/>
              </w:rPr>
              <w:t>&amp;</w:t>
            </w:r>
            <w:r w:rsidR="00155FDA" w:rsidRPr="003117E2">
              <w:rPr>
                <w:szCs w:val="24"/>
              </w:rPr>
              <w:t xml:space="preserve">  </w:t>
            </w:r>
            <w:r w:rsidR="003117E2" w:rsidRPr="003117E2">
              <w:rPr>
                <w:szCs w:val="24"/>
              </w:rPr>
              <w:t>Young Peoples’ Services and Education</w:t>
            </w:r>
          </w:p>
          <w:p w14:paraId="4ADC27AB" w14:textId="77777777" w:rsidR="004B3188" w:rsidRDefault="004B3188" w:rsidP="00605A4C"/>
          <w:p w14:paraId="07FC2A80" w14:textId="4F643458" w:rsidR="004B3188" w:rsidRDefault="00E13BEF" w:rsidP="00E13BEF">
            <w:pPr>
              <w:pStyle w:val="Heading3"/>
              <w:ind w:left="0" w:firstLine="0"/>
              <w:jc w:val="left"/>
            </w:pPr>
            <w:r>
              <w:t xml:space="preserve">Reason: </w:t>
            </w:r>
          </w:p>
          <w:p w14:paraId="5238F3F3" w14:textId="6DF3A544" w:rsidR="004B3188" w:rsidRDefault="004B3188" w:rsidP="004B3188"/>
          <w:p w14:paraId="13FF27CD" w14:textId="34B44BF0" w:rsidR="004B3188" w:rsidRPr="00410FB1" w:rsidRDefault="00410FB1" w:rsidP="00410FB1">
            <w:pPr>
              <w:shd w:val="clear" w:color="auto" w:fill="FFFFFF"/>
              <w:rPr>
                <w:szCs w:val="24"/>
              </w:rPr>
            </w:pPr>
            <w:r w:rsidRPr="00410FB1">
              <w:rPr>
                <w:rFonts w:cs="Arial"/>
                <w:color w:val="0B0C0C"/>
                <w:szCs w:val="24"/>
                <w:lang w:eastAsia="en-GB"/>
              </w:rPr>
              <w:t>The Public Health grant conditions</w:t>
            </w:r>
            <w:r>
              <w:rPr>
                <w:rFonts w:cs="Arial"/>
                <w:color w:val="0B0C0C"/>
                <w:szCs w:val="24"/>
                <w:lang w:eastAsia="en-GB"/>
              </w:rPr>
              <w:t xml:space="preserve"> </w:t>
            </w:r>
            <w:r w:rsidRPr="00410FB1">
              <w:rPr>
                <w:rFonts w:cs="Arial"/>
                <w:color w:val="0B0C0C"/>
                <w:szCs w:val="24"/>
                <w:lang w:eastAsia="en-GB"/>
              </w:rPr>
              <w:t>(</w:t>
            </w:r>
            <w:hyperlink r:id="rId15" w:history="1">
              <w:r w:rsidRPr="00410FB1">
                <w:rPr>
                  <w:rFonts w:cs="Arial"/>
                  <w:color w:val="1D70B8"/>
                  <w:szCs w:val="24"/>
                  <w:u w:val="single"/>
                  <w:bdr w:val="none" w:sz="0" w:space="0" w:color="auto" w:frame="1"/>
                  <w:lang w:eastAsia="en-GB"/>
                </w:rPr>
                <w:t>public health grant conditions</w:t>
              </w:r>
            </w:hyperlink>
            <w:r w:rsidRPr="00410FB1">
              <w:rPr>
                <w:rFonts w:cs="Arial"/>
                <w:color w:val="0B0C0C"/>
                <w:szCs w:val="24"/>
                <w:lang w:eastAsia="en-GB"/>
              </w:rPr>
              <w:t>) make it clear that</w:t>
            </w:r>
            <w:r>
              <w:rPr>
                <w:rFonts w:cs="Arial"/>
                <w:color w:val="0B0C0C"/>
                <w:szCs w:val="24"/>
                <w:lang w:eastAsia="en-GB"/>
              </w:rPr>
              <w:t xml:space="preserve"> </w:t>
            </w:r>
            <w:r w:rsidRPr="00410FB1">
              <w:rPr>
                <w:rFonts w:cs="Arial"/>
                <w:color w:val="0B0C0C"/>
                <w:szCs w:val="24"/>
                <w:lang w:eastAsia="en-GB"/>
              </w:rPr>
              <w:t>“A local authority must, in using the grant: have regard to the need to improve the take up of, and outcomes from, its drug and alcohol misuse treatment services”</w:t>
            </w:r>
            <w:r>
              <w:rPr>
                <w:rFonts w:cs="Arial"/>
                <w:color w:val="0B0C0C"/>
                <w:szCs w:val="24"/>
                <w:lang w:eastAsia="en-GB"/>
              </w:rPr>
              <w:t xml:space="preserve">. </w:t>
            </w:r>
            <w:r w:rsidR="004B3188" w:rsidRPr="00410FB1">
              <w:rPr>
                <w:szCs w:val="24"/>
              </w:rPr>
              <w:t xml:space="preserve">The </w:t>
            </w:r>
            <w:r w:rsidR="004B3188" w:rsidRPr="00410FB1">
              <w:rPr>
                <w:rFonts w:cs="Arial"/>
                <w:szCs w:val="24"/>
              </w:rPr>
              <w:t xml:space="preserve">Young People’s </w:t>
            </w:r>
            <w:r w:rsidR="004B3188" w:rsidRPr="00410FB1">
              <w:rPr>
                <w:szCs w:val="24"/>
              </w:rPr>
              <w:t xml:space="preserve">Substance Misuse Service will be funded wholly from the Public Health budget allocation. </w:t>
            </w:r>
          </w:p>
          <w:p w14:paraId="3EA6B273" w14:textId="77777777" w:rsidR="004B3188" w:rsidRPr="00C12C3A" w:rsidRDefault="004B3188" w:rsidP="004B3188">
            <w:pPr>
              <w:jc w:val="both"/>
              <w:rPr>
                <w:szCs w:val="24"/>
              </w:rPr>
            </w:pPr>
          </w:p>
          <w:p w14:paraId="7540759B" w14:textId="51EEDC36" w:rsidR="004B3188" w:rsidRDefault="004B3188" w:rsidP="009B7154">
            <w:pPr>
              <w:jc w:val="both"/>
            </w:pPr>
            <w:r w:rsidRPr="00C12C3A">
              <w:rPr>
                <w:szCs w:val="24"/>
              </w:rPr>
              <w:t xml:space="preserve">The contract in question </w:t>
            </w:r>
            <w:r>
              <w:rPr>
                <w:szCs w:val="24"/>
              </w:rPr>
              <w:t xml:space="preserve">has an individual </w:t>
            </w:r>
            <w:r w:rsidRPr="00C12C3A">
              <w:rPr>
                <w:szCs w:val="24"/>
              </w:rPr>
              <w:t>contract value in excess of £500,000 and therefore cabinet approval is required to</w:t>
            </w:r>
            <w:r w:rsidR="00675CB0">
              <w:rPr>
                <w:szCs w:val="24"/>
              </w:rPr>
              <w:t xml:space="preserve">  </w:t>
            </w:r>
            <w:r w:rsidRPr="00C12C3A">
              <w:rPr>
                <w:szCs w:val="24"/>
              </w:rPr>
              <w:t>procure a new service</w:t>
            </w:r>
            <w:r w:rsidR="00675CB0">
              <w:rPr>
                <w:szCs w:val="24"/>
              </w:rPr>
              <w:t>.</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3D13A6DE" w:rsidR="001C7E35" w:rsidRPr="00ED2273" w:rsidRDefault="001C7E35" w:rsidP="00F06E4E">
      <w:pPr>
        <w:pStyle w:val="Heading3"/>
        <w:spacing w:before="240"/>
      </w:pPr>
      <w:r w:rsidRPr="00ED2273">
        <w:t>Introductory paragraph</w:t>
      </w:r>
    </w:p>
    <w:p w14:paraId="35F55D21" w14:textId="21028399" w:rsidR="001D2938" w:rsidRPr="00ED2273" w:rsidRDefault="001D2938" w:rsidP="001D2938">
      <w:pPr>
        <w:rPr>
          <w:rFonts w:cs="Arial"/>
        </w:rPr>
      </w:pPr>
    </w:p>
    <w:p w14:paraId="2AAF0631" w14:textId="2AC54E8B" w:rsidR="002E7C22" w:rsidRPr="00ED2273" w:rsidRDefault="001D2938" w:rsidP="002E7C22">
      <w:pPr>
        <w:jc w:val="both"/>
        <w:rPr>
          <w:rFonts w:cs="Arial"/>
          <w:szCs w:val="24"/>
        </w:rPr>
      </w:pPr>
      <w:r w:rsidRPr="00ED2273">
        <w:rPr>
          <w:rFonts w:cs="Arial"/>
          <w:szCs w:val="24"/>
        </w:rPr>
        <w:t>The current Young People</w:t>
      </w:r>
      <w:r w:rsidR="002E7C22" w:rsidRPr="00ED2273">
        <w:rPr>
          <w:rFonts w:cs="Arial"/>
          <w:szCs w:val="24"/>
        </w:rPr>
        <w:t>’s S</w:t>
      </w:r>
      <w:r w:rsidRPr="00ED2273">
        <w:rPr>
          <w:rFonts w:cs="Arial"/>
          <w:szCs w:val="24"/>
        </w:rPr>
        <w:t>ubstance Misuse Service commenced on 1</w:t>
      </w:r>
      <w:r w:rsidRPr="00ED2273">
        <w:rPr>
          <w:rFonts w:cs="Arial"/>
          <w:szCs w:val="24"/>
          <w:vertAlign w:val="superscript"/>
        </w:rPr>
        <w:t>st</w:t>
      </w:r>
      <w:r w:rsidRPr="00ED2273">
        <w:rPr>
          <w:rFonts w:cs="Arial"/>
          <w:szCs w:val="24"/>
        </w:rPr>
        <w:t xml:space="preserve"> October 2015 with a contract length of 2.5 years + 2 years extension. </w:t>
      </w:r>
      <w:r w:rsidR="002E7C22" w:rsidRPr="00ED2273">
        <w:rPr>
          <w:rFonts w:cs="Arial"/>
          <w:szCs w:val="24"/>
          <w:lang w:eastAsia="en-GB"/>
        </w:rPr>
        <w:t xml:space="preserve">The Harrow Young People’s Substance Misuse Service </w:t>
      </w:r>
      <w:r w:rsidR="006551DD" w:rsidRPr="00ED2273">
        <w:rPr>
          <w:rFonts w:cs="Arial"/>
          <w:szCs w:val="24"/>
          <w:lang w:eastAsia="en-GB"/>
        </w:rPr>
        <w:t>c</w:t>
      </w:r>
      <w:r w:rsidR="002E7C22" w:rsidRPr="00ED2273">
        <w:rPr>
          <w:rFonts w:cs="Arial"/>
          <w:szCs w:val="24"/>
          <w:lang w:eastAsia="en-GB"/>
        </w:rPr>
        <w:t>ontract came to an end on 31</w:t>
      </w:r>
      <w:r w:rsidR="002E7C22" w:rsidRPr="00ED2273">
        <w:rPr>
          <w:rFonts w:cs="Arial"/>
          <w:szCs w:val="24"/>
          <w:vertAlign w:val="superscript"/>
          <w:lang w:eastAsia="en-GB"/>
        </w:rPr>
        <w:t>st</w:t>
      </w:r>
      <w:r w:rsidR="002E7C22" w:rsidRPr="00ED2273">
        <w:rPr>
          <w:rFonts w:cs="Arial"/>
          <w:szCs w:val="24"/>
          <w:lang w:eastAsia="en-GB"/>
        </w:rPr>
        <w:t xml:space="preserve"> March 2020. The </w:t>
      </w:r>
      <w:r w:rsidR="002E7C22" w:rsidRPr="00ED2273">
        <w:rPr>
          <w:rFonts w:cs="Arial"/>
          <w:szCs w:val="24"/>
        </w:rPr>
        <w:t>annual value of this Service is £218,499 and was under the “Light Touch Regime” threshold so a</w:t>
      </w:r>
      <w:r w:rsidR="002E7C22" w:rsidRPr="00ED2273">
        <w:rPr>
          <w:rFonts w:cs="Arial"/>
          <w:szCs w:val="24"/>
          <w:lang w:eastAsia="en-GB"/>
        </w:rPr>
        <w:t xml:space="preserve"> direct contract award for 2 years (until 31</w:t>
      </w:r>
      <w:r w:rsidR="002E7C22" w:rsidRPr="00ED2273">
        <w:rPr>
          <w:rFonts w:cs="Arial"/>
          <w:szCs w:val="24"/>
          <w:vertAlign w:val="superscript"/>
          <w:lang w:eastAsia="en-GB"/>
        </w:rPr>
        <w:t>st</w:t>
      </w:r>
      <w:r w:rsidR="002E7C22" w:rsidRPr="00ED2273">
        <w:rPr>
          <w:rFonts w:cs="Arial"/>
          <w:szCs w:val="24"/>
          <w:lang w:eastAsia="en-GB"/>
        </w:rPr>
        <w:t xml:space="preserve"> March 2022) </w:t>
      </w:r>
      <w:r w:rsidR="006551DD" w:rsidRPr="00ED2273">
        <w:rPr>
          <w:rFonts w:cs="Arial"/>
          <w:szCs w:val="24"/>
          <w:lang w:eastAsia="en-GB"/>
        </w:rPr>
        <w:t xml:space="preserve">was </w:t>
      </w:r>
      <w:r w:rsidR="002E7C22" w:rsidRPr="00ED2273">
        <w:rPr>
          <w:rFonts w:cs="Arial"/>
          <w:szCs w:val="24"/>
          <w:lang w:eastAsia="en-GB"/>
        </w:rPr>
        <w:t>offered to</w:t>
      </w:r>
      <w:r w:rsidR="00BF0708" w:rsidRPr="00ED2273">
        <w:rPr>
          <w:rFonts w:cs="Arial"/>
          <w:szCs w:val="24"/>
          <w:lang w:eastAsia="en-GB"/>
        </w:rPr>
        <w:t xml:space="preserve">, and accepted by the </w:t>
      </w:r>
      <w:r w:rsidR="002E7C22" w:rsidRPr="00ED2273">
        <w:rPr>
          <w:rFonts w:cs="Arial"/>
          <w:szCs w:val="24"/>
          <w:lang w:eastAsia="en-GB"/>
        </w:rPr>
        <w:t xml:space="preserve">current Provider. </w:t>
      </w:r>
    </w:p>
    <w:p w14:paraId="6CC24203" w14:textId="77777777" w:rsidR="002E7C22" w:rsidRPr="00ED2273" w:rsidRDefault="002E7C22" w:rsidP="001D2938">
      <w:pPr>
        <w:jc w:val="both"/>
        <w:rPr>
          <w:rFonts w:cs="Arial"/>
          <w:szCs w:val="24"/>
        </w:rPr>
      </w:pPr>
    </w:p>
    <w:p w14:paraId="56C5474D" w14:textId="77777777" w:rsidR="001D2938" w:rsidRPr="00ED2273" w:rsidRDefault="001D2938" w:rsidP="001D2938">
      <w:pPr>
        <w:jc w:val="both"/>
        <w:rPr>
          <w:rFonts w:cs="Arial"/>
          <w:szCs w:val="24"/>
        </w:rPr>
      </w:pPr>
      <w:r w:rsidRPr="00ED2273">
        <w:rPr>
          <w:rFonts w:cs="Arial"/>
          <w:color w:val="000000"/>
          <w:szCs w:val="24"/>
        </w:rPr>
        <w:t>As part of the Public Health England (PHE) Requirements laid out in the Health and Social Care Act 2012,</w:t>
      </w:r>
      <w:r w:rsidRPr="00ED2273">
        <w:rPr>
          <w:rFonts w:cs="Arial"/>
          <w:color w:val="0000FF"/>
          <w:szCs w:val="24"/>
        </w:rPr>
        <w:t xml:space="preserve"> </w:t>
      </w:r>
      <w:r w:rsidRPr="00ED2273">
        <w:rPr>
          <w:rFonts w:cs="Arial"/>
          <w:color w:val="000000"/>
          <w:szCs w:val="24"/>
        </w:rPr>
        <w:t xml:space="preserve">local authorities are responsible for commissioning health and social care services for residents. </w:t>
      </w:r>
    </w:p>
    <w:p w14:paraId="694D28D1" w14:textId="77777777" w:rsidR="001D2938" w:rsidRPr="00ED2273" w:rsidRDefault="001D2938" w:rsidP="001D2938">
      <w:pPr>
        <w:jc w:val="both"/>
        <w:rPr>
          <w:rFonts w:cs="Arial"/>
          <w:szCs w:val="24"/>
        </w:rPr>
      </w:pPr>
    </w:p>
    <w:p w14:paraId="5023BD94" w14:textId="571B8643" w:rsidR="001D2938" w:rsidRPr="00ED2273" w:rsidRDefault="001D2938" w:rsidP="001D2938">
      <w:pPr>
        <w:spacing w:line="276" w:lineRule="auto"/>
        <w:contextualSpacing/>
        <w:jc w:val="both"/>
        <w:rPr>
          <w:rFonts w:cs="Arial"/>
        </w:rPr>
      </w:pPr>
      <w:r w:rsidRPr="00ED2273">
        <w:rPr>
          <w:rFonts w:cs="Arial"/>
        </w:rPr>
        <w:t xml:space="preserve">The commissioning of this Service enables the Council to discharge </w:t>
      </w:r>
      <w:r w:rsidR="006551DD" w:rsidRPr="00ED2273">
        <w:rPr>
          <w:rFonts w:cs="Arial"/>
        </w:rPr>
        <w:t>its</w:t>
      </w:r>
      <w:r w:rsidRPr="00ED2273">
        <w:rPr>
          <w:rFonts w:cs="Arial"/>
        </w:rPr>
        <w:t xml:space="preserve"> duties in relation to the:</w:t>
      </w:r>
    </w:p>
    <w:p w14:paraId="062CC6F0" w14:textId="77777777" w:rsidR="001D2938" w:rsidRPr="00ED2273" w:rsidRDefault="001D2938" w:rsidP="00DB39E0">
      <w:pPr>
        <w:numPr>
          <w:ilvl w:val="0"/>
          <w:numId w:val="6"/>
        </w:numPr>
        <w:jc w:val="both"/>
        <w:rPr>
          <w:rFonts w:cs="Arial"/>
          <w:lang w:eastAsia="en-GB"/>
        </w:rPr>
      </w:pPr>
      <w:r w:rsidRPr="00ED2273">
        <w:rPr>
          <w:rFonts w:cs="Arial"/>
          <w:b/>
          <w:lang w:eastAsia="en-GB"/>
        </w:rPr>
        <w:lastRenderedPageBreak/>
        <w:t>Health and Social Care Act 2012</w:t>
      </w:r>
      <w:r w:rsidRPr="00ED2273">
        <w:rPr>
          <w:rFonts w:cs="Arial"/>
          <w:lang w:eastAsia="en-GB"/>
        </w:rPr>
        <w:t>: to commission best value and effective services which deliver better outcomes for local residents in relation to their health/wellbeing.</w:t>
      </w:r>
    </w:p>
    <w:p w14:paraId="7ED89570" w14:textId="77777777" w:rsidR="001D2938" w:rsidRPr="00ED2273" w:rsidRDefault="001D2938" w:rsidP="00DB39E0">
      <w:pPr>
        <w:numPr>
          <w:ilvl w:val="0"/>
          <w:numId w:val="6"/>
        </w:numPr>
        <w:jc w:val="both"/>
        <w:rPr>
          <w:rFonts w:cs="Arial"/>
          <w:lang w:eastAsia="en-GB"/>
        </w:rPr>
      </w:pPr>
      <w:r w:rsidRPr="00ED2273">
        <w:rPr>
          <w:rFonts w:cs="Arial"/>
          <w:b/>
          <w:lang w:eastAsia="en-GB"/>
        </w:rPr>
        <w:t>Criminal Justice Act 1991</w:t>
      </w:r>
      <w:r w:rsidRPr="00ED2273">
        <w:rPr>
          <w:rFonts w:cs="Arial"/>
          <w:lang w:eastAsia="en-GB"/>
        </w:rPr>
        <w:t>: to provide community treatment to offenders.</w:t>
      </w:r>
    </w:p>
    <w:p w14:paraId="55E9E8FD" w14:textId="40386E85" w:rsidR="001D2938" w:rsidRPr="00ED2273" w:rsidRDefault="001D2938" w:rsidP="00DB39E0">
      <w:pPr>
        <w:numPr>
          <w:ilvl w:val="0"/>
          <w:numId w:val="6"/>
        </w:numPr>
        <w:jc w:val="both"/>
        <w:rPr>
          <w:rFonts w:cs="Arial"/>
          <w:lang w:eastAsia="en-GB"/>
        </w:rPr>
      </w:pPr>
      <w:r w:rsidRPr="00ED2273">
        <w:rPr>
          <w:rFonts w:cs="Arial"/>
          <w:b/>
          <w:lang w:eastAsia="en-GB"/>
        </w:rPr>
        <w:t>Children’s Act 1989</w:t>
      </w:r>
      <w:r w:rsidRPr="00ED2273">
        <w:rPr>
          <w:rFonts w:cs="Arial"/>
          <w:lang w:eastAsia="en-GB"/>
        </w:rPr>
        <w:t xml:space="preserve">: to “safeguard and promote the welfare of children within their area who are in </w:t>
      </w:r>
      <w:r w:rsidR="002E7C22" w:rsidRPr="00ED2273">
        <w:rPr>
          <w:rFonts w:cs="Arial"/>
          <w:lang w:eastAsia="en-GB"/>
        </w:rPr>
        <w:t>need and</w:t>
      </w:r>
      <w:r w:rsidRPr="00ED2273">
        <w:rPr>
          <w:rFonts w:cs="Arial"/>
          <w:lang w:eastAsia="en-GB"/>
        </w:rPr>
        <w:t xml:space="preserve"> so far as is consistent with that duty, to promote the upbringing of such children by their families by providing a range and level of services appropriate to those children’s needs”.</w:t>
      </w:r>
    </w:p>
    <w:p w14:paraId="099C2321" w14:textId="77777777" w:rsidR="001D2938" w:rsidRPr="00ED2273" w:rsidRDefault="001D2938" w:rsidP="001D2938">
      <w:pPr>
        <w:jc w:val="both"/>
        <w:rPr>
          <w:rFonts w:cs="Arial"/>
          <w:lang w:eastAsia="en-GB"/>
        </w:rPr>
      </w:pPr>
    </w:p>
    <w:p w14:paraId="45FC6E12" w14:textId="55FAA4FC" w:rsidR="001D2938" w:rsidRPr="00ED2273" w:rsidRDefault="001D2938" w:rsidP="001D2938">
      <w:pPr>
        <w:jc w:val="both"/>
        <w:rPr>
          <w:rFonts w:cs="Arial"/>
        </w:rPr>
      </w:pPr>
      <w:r w:rsidRPr="00ED2273">
        <w:rPr>
          <w:rFonts w:cs="Arial"/>
          <w:szCs w:val="24"/>
        </w:rPr>
        <w:t xml:space="preserve">The contract value of the </w:t>
      </w:r>
      <w:r w:rsidR="002B3808" w:rsidRPr="00ED2273">
        <w:rPr>
          <w:rFonts w:cs="Arial"/>
          <w:szCs w:val="24"/>
        </w:rPr>
        <w:t xml:space="preserve">Young People’s </w:t>
      </w:r>
      <w:r w:rsidRPr="00ED2273">
        <w:rPr>
          <w:rFonts w:cs="Arial"/>
          <w:szCs w:val="24"/>
        </w:rPr>
        <w:t>Substance Misuse is over £500k so Cabinet approval is required under the Contract Procedure Rules (CPRs) and the Council’s Financial Regulations. A competitive tendering exercise will be carried out in accordance with the CPRs.</w:t>
      </w:r>
    </w:p>
    <w:p w14:paraId="00179484" w14:textId="77777777" w:rsidR="001D2938" w:rsidRPr="00ED2273" w:rsidRDefault="001D2938" w:rsidP="001D2938">
      <w:pPr>
        <w:jc w:val="both"/>
        <w:rPr>
          <w:rFonts w:cs="Arial"/>
          <w:lang w:eastAsia="en-GB"/>
        </w:rPr>
      </w:pPr>
    </w:p>
    <w:p w14:paraId="0A078380" w14:textId="69558A03" w:rsidR="00AD1E77" w:rsidRPr="00ED2273" w:rsidRDefault="001C7E35" w:rsidP="00A1211C">
      <w:pPr>
        <w:pStyle w:val="Heading3"/>
        <w:spacing w:before="240"/>
        <w:ind w:left="0" w:firstLine="0"/>
        <w:jc w:val="left"/>
      </w:pPr>
      <w:r w:rsidRPr="00ED2273">
        <w:t xml:space="preserve">Options considered  </w:t>
      </w:r>
    </w:p>
    <w:p w14:paraId="119C95E5" w14:textId="3F2F2EE2" w:rsidR="004B3188" w:rsidRPr="00ED2273" w:rsidRDefault="004B3188" w:rsidP="004B3188">
      <w:pPr>
        <w:rPr>
          <w:rFonts w:cs="Arial"/>
        </w:rPr>
      </w:pPr>
    </w:p>
    <w:p w14:paraId="62D58FFD" w14:textId="73DDBFAB" w:rsidR="004B3188" w:rsidRPr="00ED2273" w:rsidRDefault="006551DD" w:rsidP="00DB39E0">
      <w:pPr>
        <w:numPr>
          <w:ilvl w:val="0"/>
          <w:numId w:val="4"/>
        </w:numPr>
        <w:jc w:val="both"/>
        <w:outlineLvl w:val="1"/>
        <w:rPr>
          <w:rFonts w:cs="Arial"/>
          <w:bCs/>
          <w:szCs w:val="24"/>
        </w:rPr>
      </w:pPr>
      <w:r w:rsidRPr="00ED2273">
        <w:rPr>
          <w:rFonts w:cs="Arial"/>
          <w:bCs/>
          <w:szCs w:val="24"/>
        </w:rPr>
        <w:t>Re-p</w:t>
      </w:r>
      <w:r w:rsidR="004B3188" w:rsidRPr="00ED2273">
        <w:rPr>
          <w:rFonts w:cs="Arial"/>
          <w:bCs/>
          <w:szCs w:val="24"/>
        </w:rPr>
        <w:t>rocurement of the Young People’s Substance Misuse Service is required to continue engagement and maintain support for Harrow</w:t>
      </w:r>
      <w:r w:rsidRPr="00ED2273">
        <w:rPr>
          <w:rFonts w:cs="Arial"/>
          <w:bCs/>
          <w:szCs w:val="24"/>
        </w:rPr>
        <w:t>’s</w:t>
      </w:r>
      <w:r w:rsidR="004B3188" w:rsidRPr="00ED2273">
        <w:rPr>
          <w:rFonts w:cs="Arial"/>
          <w:bCs/>
          <w:szCs w:val="24"/>
        </w:rPr>
        <w:t xml:space="preserve"> young people and their families (and wider community) who are affected by substance misuse.</w:t>
      </w:r>
    </w:p>
    <w:p w14:paraId="3601CFDA" w14:textId="77777777" w:rsidR="004B3188" w:rsidRPr="00ED2273" w:rsidRDefault="004B3188" w:rsidP="004B3188">
      <w:pPr>
        <w:jc w:val="both"/>
        <w:rPr>
          <w:rFonts w:cs="Arial"/>
        </w:rPr>
      </w:pPr>
    </w:p>
    <w:p w14:paraId="7E8FAA18" w14:textId="5137AF26" w:rsidR="004B3188" w:rsidRPr="00ED2273" w:rsidRDefault="004B3188" w:rsidP="00DB39E0">
      <w:pPr>
        <w:numPr>
          <w:ilvl w:val="0"/>
          <w:numId w:val="4"/>
        </w:numPr>
        <w:jc w:val="both"/>
        <w:rPr>
          <w:rFonts w:cs="Arial"/>
        </w:rPr>
      </w:pPr>
      <w:r w:rsidRPr="00ED2273">
        <w:rPr>
          <w:rFonts w:cs="Arial"/>
        </w:rPr>
        <w:t xml:space="preserve">There is no rationale for Harrow </w:t>
      </w:r>
      <w:r w:rsidR="006E0E38">
        <w:rPr>
          <w:rFonts w:cs="Arial"/>
        </w:rPr>
        <w:t xml:space="preserve">Council </w:t>
      </w:r>
      <w:r w:rsidRPr="00ED2273">
        <w:rPr>
          <w:rFonts w:cs="Arial"/>
        </w:rPr>
        <w:t xml:space="preserve">to deliver the Young People’s Substance Misuse Service directly as the Council does not have the clinical structure/experience or skill to deliver a treatment and recovery pathway. Relevant skills for the delivery of this Service lies within an experienced specialist Provider either within the NHS or </w:t>
      </w:r>
      <w:r w:rsidR="00AF2980">
        <w:rPr>
          <w:rFonts w:cs="Arial"/>
        </w:rPr>
        <w:t>v</w:t>
      </w:r>
      <w:r w:rsidRPr="00ED2273">
        <w:rPr>
          <w:rFonts w:cs="Arial"/>
        </w:rPr>
        <w:t xml:space="preserve">oluntary sector. </w:t>
      </w:r>
    </w:p>
    <w:p w14:paraId="687D5AFE" w14:textId="77777777" w:rsidR="004B3188" w:rsidRPr="00ED2273" w:rsidRDefault="004B3188" w:rsidP="004B3188">
      <w:pPr>
        <w:jc w:val="both"/>
        <w:outlineLvl w:val="1"/>
        <w:rPr>
          <w:rFonts w:cs="Arial"/>
          <w:bCs/>
          <w:szCs w:val="24"/>
        </w:rPr>
      </w:pPr>
    </w:p>
    <w:p w14:paraId="2C18C147" w14:textId="729C5B64" w:rsidR="004B3188" w:rsidRPr="00ED2273" w:rsidRDefault="004B3188" w:rsidP="00DB39E0">
      <w:pPr>
        <w:numPr>
          <w:ilvl w:val="0"/>
          <w:numId w:val="4"/>
        </w:numPr>
        <w:jc w:val="both"/>
        <w:outlineLvl w:val="1"/>
        <w:rPr>
          <w:rFonts w:cs="Arial"/>
          <w:bCs/>
          <w:szCs w:val="24"/>
        </w:rPr>
      </w:pPr>
      <w:bookmarkStart w:id="0" w:name="_Hlk81839292"/>
      <w:r w:rsidRPr="00ED2273">
        <w:rPr>
          <w:rFonts w:cs="Arial"/>
          <w:bCs/>
          <w:szCs w:val="24"/>
        </w:rPr>
        <w:t xml:space="preserve">There is no option to extend the current Harrow Young People’s Substance Misuse Service as the </w:t>
      </w:r>
      <w:r w:rsidR="00BF0708" w:rsidRPr="00ED2273">
        <w:rPr>
          <w:rFonts w:cs="Arial"/>
          <w:bCs/>
          <w:szCs w:val="24"/>
        </w:rPr>
        <w:t>current contract is a 2 year Direct Award</w:t>
      </w:r>
      <w:r w:rsidRPr="00ED2273">
        <w:rPr>
          <w:rFonts w:cs="Arial"/>
          <w:bCs/>
          <w:szCs w:val="24"/>
        </w:rPr>
        <w:t>.</w:t>
      </w:r>
    </w:p>
    <w:bookmarkEnd w:id="0"/>
    <w:p w14:paraId="102672E4" w14:textId="2E123FB0" w:rsidR="004B3188" w:rsidRPr="00ED2273" w:rsidRDefault="004B3188" w:rsidP="004B3188">
      <w:pPr>
        <w:rPr>
          <w:rFonts w:cs="Arial"/>
        </w:rPr>
      </w:pPr>
    </w:p>
    <w:p w14:paraId="65810B68" w14:textId="77777777" w:rsidR="00B243E6" w:rsidRPr="00ED2273" w:rsidRDefault="00B243E6" w:rsidP="00333FAA">
      <w:pPr>
        <w:pStyle w:val="Heading2"/>
        <w:rPr>
          <w:rFonts w:ascii="Arial" w:hAnsi="Arial"/>
          <w:color w:val="0000FF"/>
          <w:sz w:val="28"/>
          <w:szCs w:val="28"/>
        </w:rPr>
      </w:pPr>
    </w:p>
    <w:p w14:paraId="0E637316" w14:textId="64F6A767" w:rsidR="00333FAA" w:rsidRPr="009B7154" w:rsidRDefault="00333FAA" w:rsidP="00333FAA">
      <w:pPr>
        <w:pStyle w:val="Heading2"/>
        <w:rPr>
          <w:rFonts w:ascii="Arial" w:hAnsi="Arial"/>
          <w:sz w:val="28"/>
          <w:szCs w:val="28"/>
        </w:rPr>
      </w:pPr>
      <w:r w:rsidRPr="009B7154">
        <w:rPr>
          <w:rFonts w:ascii="Arial" w:hAnsi="Arial"/>
          <w:sz w:val="28"/>
          <w:szCs w:val="28"/>
        </w:rPr>
        <w:t>Current situation</w:t>
      </w:r>
    </w:p>
    <w:p w14:paraId="71C587E4" w14:textId="7772E4E8" w:rsidR="00410FB1" w:rsidRPr="00ED2273" w:rsidRDefault="00410FB1" w:rsidP="00B243E6">
      <w:pPr>
        <w:jc w:val="both"/>
        <w:rPr>
          <w:rFonts w:cs="Arial"/>
          <w:color w:val="000000" w:themeColor="text1"/>
          <w:szCs w:val="24"/>
        </w:rPr>
      </w:pPr>
    </w:p>
    <w:p w14:paraId="077003A7" w14:textId="4AFCF2AD" w:rsidR="002B3808" w:rsidRPr="00ED2273" w:rsidRDefault="002B3808" w:rsidP="00B243E6">
      <w:pPr>
        <w:jc w:val="both"/>
        <w:rPr>
          <w:rFonts w:cs="Arial"/>
          <w:szCs w:val="24"/>
        </w:rPr>
      </w:pPr>
      <w:r w:rsidRPr="00ED2273">
        <w:rPr>
          <w:rFonts w:cs="Arial"/>
        </w:rPr>
        <w:t xml:space="preserve">Harrow Young People’s Substance Misuse Service is a single treatment and recovery pathway with a Single Point of Access and ‘no wrong door’. The Service is delivered by one Provider from one site in Harrow plus co-locations within other agencies </w:t>
      </w:r>
      <w:r w:rsidRPr="00ED2273">
        <w:rPr>
          <w:rFonts w:cs="Arial"/>
          <w:szCs w:val="24"/>
        </w:rPr>
        <w:t xml:space="preserve">including L.A. Harrow Children’s Service, Child and Adolescent </w:t>
      </w:r>
      <w:r w:rsidR="003A2A23" w:rsidRPr="00ED2273">
        <w:rPr>
          <w:rFonts w:cs="Arial"/>
          <w:szCs w:val="24"/>
        </w:rPr>
        <w:t xml:space="preserve">Mental Health </w:t>
      </w:r>
      <w:r w:rsidRPr="00ED2273">
        <w:rPr>
          <w:rFonts w:cs="Arial"/>
          <w:szCs w:val="24"/>
        </w:rPr>
        <w:t xml:space="preserve">Service, Schools, Colleges and Youth Offending Service. </w:t>
      </w:r>
    </w:p>
    <w:p w14:paraId="34617FF9" w14:textId="1B774129" w:rsidR="002B3808" w:rsidRPr="00ED2273" w:rsidRDefault="002B3808" w:rsidP="00B243E6">
      <w:pPr>
        <w:jc w:val="both"/>
        <w:rPr>
          <w:rFonts w:cs="Arial"/>
          <w:szCs w:val="24"/>
        </w:rPr>
      </w:pPr>
    </w:p>
    <w:p w14:paraId="4A8BB3F8" w14:textId="276FEBF4" w:rsidR="002B3808" w:rsidRPr="00ED2273" w:rsidRDefault="002B3808" w:rsidP="002B3808">
      <w:pPr>
        <w:jc w:val="both"/>
        <w:outlineLvl w:val="1"/>
        <w:rPr>
          <w:rFonts w:cs="Arial"/>
        </w:rPr>
      </w:pPr>
      <w:r w:rsidRPr="00ED2273">
        <w:rPr>
          <w:rFonts w:cs="Arial"/>
        </w:rPr>
        <w:t xml:space="preserve">Harrow Young People’s Substance Misuse Service is currently delivered by Compass </w:t>
      </w:r>
      <w:hyperlink r:id="rId16" w:history="1">
        <w:r w:rsidRPr="00ED2273">
          <w:rPr>
            <w:rFonts w:cs="Arial"/>
            <w:color w:val="0000FF"/>
            <w:u w:val="single"/>
          </w:rPr>
          <w:t>Harrow Young People's Substance Misuse Service | Compass (compass-uk.org)</w:t>
        </w:r>
      </w:hyperlink>
    </w:p>
    <w:p w14:paraId="596F3463" w14:textId="77777777" w:rsidR="002B3808" w:rsidRPr="00ED2273" w:rsidRDefault="002B3808" w:rsidP="00B243E6">
      <w:pPr>
        <w:jc w:val="both"/>
        <w:rPr>
          <w:rFonts w:cs="Arial"/>
          <w:color w:val="000000" w:themeColor="text1"/>
          <w:szCs w:val="24"/>
        </w:rPr>
      </w:pPr>
    </w:p>
    <w:p w14:paraId="17FDFBC7" w14:textId="520DAD7B" w:rsidR="00B243E6" w:rsidRPr="00ED2273" w:rsidRDefault="00B243E6" w:rsidP="00B243E6">
      <w:pPr>
        <w:jc w:val="both"/>
        <w:rPr>
          <w:rFonts w:cs="Arial"/>
          <w:szCs w:val="24"/>
        </w:rPr>
      </w:pPr>
      <w:r w:rsidRPr="00ED2273">
        <w:rPr>
          <w:rFonts w:cs="Arial"/>
          <w:color w:val="000000" w:themeColor="text1"/>
          <w:szCs w:val="24"/>
        </w:rPr>
        <w:t xml:space="preserve">Harrow Public Health is committed to fulfilling the requirements of the Government Drug Strategy (2017), The Government Alcohol Strategy (2012), </w:t>
      </w:r>
      <w:r w:rsidRPr="00ED2273">
        <w:rPr>
          <w:rFonts w:cs="Arial"/>
          <w:color w:val="000000" w:themeColor="text1"/>
          <w:szCs w:val="24"/>
        </w:rPr>
        <w:lastRenderedPageBreak/>
        <w:t xml:space="preserve">PHE Guidance: Parents with alcohol and drug problems: adult treatment and children </w:t>
      </w:r>
      <w:r w:rsidRPr="00ED2273">
        <w:rPr>
          <w:rFonts w:cs="Arial"/>
          <w:szCs w:val="24"/>
        </w:rPr>
        <w:t>and family services (2021),</w:t>
      </w:r>
      <w:r w:rsidR="00410FB1" w:rsidRPr="00ED2273">
        <w:rPr>
          <w:rFonts w:cs="Arial"/>
          <w:szCs w:val="24"/>
        </w:rPr>
        <w:t xml:space="preserve"> the </w:t>
      </w:r>
      <w:r w:rsidRPr="00ED2273">
        <w:rPr>
          <w:rFonts w:cs="Arial"/>
          <w:szCs w:val="24"/>
        </w:rPr>
        <w:t>Public Health Outcome Framework: Improving Outcomes and Supporting Transparency (2013</w:t>
      </w:r>
      <w:r w:rsidR="00410FB1" w:rsidRPr="00ED2273">
        <w:rPr>
          <w:rFonts w:cs="Arial"/>
          <w:szCs w:val="24"/>
        </w:rPr>
        <w:t>-2016</w:t>
      </w:r>
      <w:r w:rsidRPr="00ED2273">
        <w:rPr>
          <w:rFonts w:cs="Arial"/>
          <w:szCs w:val="24"/>
        </w:rPr>
        <w:t>)</w:t>
      </w:r>
      <w:r w:rsidR="00410FB1" w:rsidRPr="00ED2273">
        <w:rPr>
          <w:rFonts w:cs="Arial"/>
          <w:szCs w:val="24"/>
        </w:rPr>
        <w:t xml:space="preserve">, Working Together to Safeguard Children (2018), PHE Young people’s substance </w:t>
      </w:r>
      <w:r w:rsidR="002E7C22" w:rsidRPr="00ED2273">
        <w:rPr>
          <w:rFonts w:cs="Arial"/>
          <w:szCs w:val="24"/>
        </w:rPr>
        <w:t>m</w:t>
      </w:r>
      <w:r w:rsidR="00410FB1" w:rsidRPr="00ED2273">
        <w:rPr>
          <w:rFonts w:cs="Arial"/>
          <w:szCs w:val="24"/>
        </w:rPr>
        <w:t xml:space="preserve">isuse treatment statistics </w:t>
      </w:r>
      <w:hyperlink r:id="rId17" w:history="1">
        <w:r w:rsidR="00563D4C" w:rsidRPr="00ED2273">
          <w:rPr>
            <w:rFonts w:cs="Arial"/>
            <w:color w:val="0000FF"/>
            <w:u w:val="single"/>
          </w:rPr>
          <w:t>Young people's substance misuse treatment statistics 2019 to 2020: report - GOV.UK (www.gov.uk)</w:t>
        </w:r>
      </w:hyperlink>
    </w:p>
    <w:p w14:paraId="05B0C675" w14:textId="77777777" w:rsidR="00B243E6" w:rsidRPr="00ED2273" w:rsidRDefault="00B243E6" w:rsidP="00B243E6">
      <w:pPr>
        <w:jc w:val="both"/>
        <w:rPr>
          <w:rFonts w:cs="Arial"/>
          <w:szCs w:val="24"/>
        </w:rPr>
      </w:pPr>
    </w:p>
    <w:p w14:paraId="69BA1CB7" w14:textId="1D9724C8" w:rsidR="00B243E6" w:rsidRPr="00ED2273" w:rsidRDefault="00105155" w:rsidP="00105155">
      <w:pPr>
        <w:jc w:val="both"/>
        <w:rPr>
          <w:rFonts w:cs="Arial"/>
          <w:szCs w:val="24"/>
        </w:rPr>
      </w:pPr>
      <w:r w:rsidRPr="00ED2273">
        <w:rPr>
          <w:rFonts w:cs="Arial"/>
          <w:szCs w:val="24"/>
        </w:rPr>
        <w:t xml:space="preserve">Harrow’s Young People’s </w:t>
      </w:r>
      <w:r w:rsidR="00B243E6" w:rsidRPr="00ED2273">
        <w:rPr>
          <w:rFonts w:cs="Arial"/>
          <w:szCs w:val="24"/>
        </w:rPr>
        <w:t>Substance Misuse Service specialise</w:t>
      </w:r>
      <w:r w:rsidRPr="00ED2273">
        <w:rPr>
          <w:rFonts w:cs="Arial"/>
          <w:szCs w:val="24"/>
        </w:rPr>
        <w:t>s</w:t>
      </w:r>
      <w:r w:rsidR="00B243E6" w:rsidRPr="00ED2273">
        <w:rPr>
          <w:rFonts w:cs="Arial"/>
          <w:szCs w:val="24"/>
        </w:rPr>
        <w:t xml:space="preserve"> in delivering drug and alcohol treatment, crime reduction interventions for </w:t>
      </w:r>
      <w:r w:rsidR="003A2A23" w:rsidRPr="00ED2273">
        <w:rPr>
          <w:rFonts w:cs="Arial"/>
          <w:szCs w:val="24"/>
        </w:rPr>
        <w:t xml:space="preserve">young </w:t>
      </w:r>
      <w:r w:rsidR="00B243E6" w:rsidRPr="00ED2273">
        <w:rPr>
          <w:rFonts w:cs="Arial"/>
          <w:szCs w:val="24"/>
        </w:rPr>
        <w:t>drug and alcohol offenders and targeted services for young people affected by substance misuse. Together these services minimise the impact that substance misuse has on individuals and community, ultimately making a positive contribution to addressing health inequalities and crime reduction priorities of the Safer Community Board</w:t>
      </w:r>
      <w:r w:rsidRPr="00ED2273">
        <w:rPr>
          <w:rFonts w:cs="Arial"/>
          <w:szCs w:val="24"/>
        </w:rPr>
        <w:t>.</w:t>
      </w:r>
    </w:p>
    <w:p w14:paraId="6DB9B19C" w14:textId="77777777" w:rsidR="00B243E6" w:rsidRPr="00ED2273" w:rsidRDefault="00B243E6" w:rsidP="00B243E6">
      <w:pPr>
        <w:jc w:val="both"/>
        <w:rPr>
          <w:rFonts w:cs="Arial"/>
          <w:szCs w:val="24"/>
        </w:rPr>
      </w:pPr>
    </w:p>
    <w:p w14:paraId="07DFA94F" w14:textId="0E317A8E" w:rsidR="00B243E6" w:rsidRPr="00ED2273" w:rsidRDefault="003A2A23" w:rsidP="003A2A23">
      <w:pPr>
        <w:jc w:val="both"/>
        <w:rPr>
          <w:rFonts w:cs="Arial"/>
          <w:szCs w:val="24"/>
        </w:rPr>
      </w:pPr>
      <w:r w:rsidRPr="00ED2273">
        <w:rPr>
          <w:rFonts w:cs="Arial"/>
          <w:szCs w:val="24"/>
        </w:rPr>
        <w:t>Re-</w:t>
      </w:r>
      <w:r w:rsidR="00B243E6" w:rsidRPr="00ED2273">
        <w:rPr>
          <w:rFonts w:cs="Arial"/>
          <w:szCs w:val="24"/>
        </w:rPr>
        <w:t>procurement of a new service model will:</w:t>
      </w:r>
    </w:p>
    <w:p w14:paraId="2A6EE416" w14:textId="77777777" w:rsidR="00B243E6" w:rsidRPr="00ED2273" w:rsidRDefault="00B243E6" w:rsidP="00B243E6">
      <w:pPr>
        <w:jc w:val="both"/>
        <w:rPr>
          <w:rFonts w:cs="Arial"/>
          <w:szCs w:val="24"/>
        </w:rPr>
      </w:pPr>
    </w:p>
    <w:p w14:paraId="7B30F628" w14:textId="77777777" w:rsidR="00B243E6" w:rsidRPr="00ED2273" w:rsidRDefault="00B243E6" w:rsidP="00DB39E0">
      <w:pPr>
        <w:numPr>
          <w:ilvl w:val="0"/>
          <w:numId w:val="5"/>
        </w:numPr>
        <w:jc w:val="both"/>
        <w:rPr>
          <w:rFonts w:cs="Arial"/>
          <w:szCs w:val="24"/>
        </w:rPr>
      </w:pPr>
      <w:r w:rsidRPr="00ED2273">
        <w:rPr>
          <w:rFonts w:cs="Arial"/>
          <w:szCs w:val="24"/>
        </w:rPr>
        <w:t xml:space="preserve">comply with procurement regulations </w:t>
      </w:r>
    </w:p>
    <w:p w14:paraId="20605864" w14:textId="2DF2BDD5" w:rsidR="00B243E6" w:rsidRPr="00ED2273" w:rsidRDefault="00B243E6" w:rsidP="00DB39E0">
      <w:pPr>
        <w:numPr>
          <w:ilvl w:val="0"/>
          <w:numId w:val="5"/>
        </w:numPr>
        <w:jc w:val="both"/>
        <w:rPr>
          <w:rFonts w:cs="Arial"/>
          <w:szCs w:val="24"/>
        </w:rPr>
      </w:pPr>
      <w:r w:rsidRPr="00ED2273">
        <w:rPr>
          <w:rFonts w:cs="Arial"/>
          <w:szCs w:val="24"/>
        </w:rPr>
        <w:t xml:space="preserve">deliver improved outcomes for </w:t>
      </w:r>
      <w:r w:rsidR="00105155" w:rsidRPr="00ED2273">
        <w:rPr>
          <w:rFonts w:cs="Arial"/>
          <w:szCs w:val="24"/>
        </w:rPr>
        <w:t>young people</w:t>
      </w:r>
      <w:r w:rsidRPr="00ED2273">
        <w:rPr>
          <w:rFonts w:cs="Arial"/>
          <w:szCs w:val="24"/>
        </w:rPr>
        <w:t xml:space="preserve"> by reducing levels of harm caused to health, meet the needs of diverse communities and address health inequalities</w:t>
      </w:r>
    </w:p>
    <w:p w14:paraId="2B2BB18C" w14:textId="77777777" w:rsidR="00B243E6" w:rsidRPr="00ED2273" w:rsidRDefault="00B243E6" w:rsidP="00DB39E0">
      <w:pPr>
        <w:numPr>
          <w:ilvl w:val="0"/>
          <w:numId w:val="5"/>
        </w:numPr>
        <w:jc w:val="both"/>
        <w:rPr>
          <w:rFonts w:cs="Arial"/>
          <w:szCs w:val="24"/>
        </w:rPr>
      </w:pPr>
      <w:r w:rsidRPr="00ED2273">
        <w:rPr>
          <w:rFonts w:cs="Arial"/>
          <w:szCs w:val="24"/>
        </w:rPr>
        <w:t>reduce drug and alcohol related crime and anti-social behaviours</w:t>
      </w:r>
    </w:p>
    <w:p w14:paraId="46470AB2" w14:textId="77777777" w:rsidR="00B243E6" w:rsidRPr="00ED2273" w:rsidRDefault="00B243E6" w:rsidP="00DB39E0">
      <w:pPr>
        <w:numPr>
          <w:ilvl w:val="0"/>
          <w:numId w:val="5"/>
        </w:numPr>
        <w:jc w:val="both"/>
        <w:rPr>
          <w:rFonts w:cs="Arial"/>
          <w:szCs w:val="24"/>
        </w:rPr>
      </w:pPr>
      <w:r w:rsidRPr="00ED2273">
        <w:rPr>
          <w:rFonts w:cs="Arial"/>
          <w:szCs w:val="24"/>
        </w:rPr>
        <w:t>ensure young people have the best opportunity to stay safe, achieve and make a positive contribution</w:t>
      </w:r>
    </w:p>
    <w:p w14:paraId="2E722967" w14:textId="51AF3055" w:rsidR="00B243E6" w:rsidRPr="00ED2273" w:rsidRDefault="00B243E6" w:rsidP="00DB39E0">
      <w:pPr>
        <w:numPr>
          <w:ilvl w:val="0"/>
          <w:numId w:val="5"/>
        </w:numPr>
        <w:jc w:val="both"/>
        <w:rPr>
          <w:rFonts w:cs="Arial"/>
          <w:szCs w:val="24"/>
        </w:rPr>
      </w:pPr>
      <w:r w:rsidRPr="00ED2273">
        <w:rPr>
          <w:rFonts w:cs="Arial"/>
          <w:szCs w:val="24"/>
        </w:rPr>
        <w:t xml:space="preserve">improve harm reduction outcomes for </w:t>
      </w:r>
      <w:r w:rsidR="00105155" w:rsidRPr="00ED2273">
        <w:rPr>
          <w:rFonts w:cs="Arial"/>
          <w:szCs w:val="24"/>
        </w:rPr>
        <w:t>young people</w:t>
      </w:r>
      <w:r w:rsidRPr="00ED2273">
        <w:rPr>
          <w:rFonts w:cs="Arial"/>
          <w:szCs w:val="24"/>
        </w:rPr>
        <w:t xml:space="preserve"> in relation to </w:t>
      </w:r>
      <w:r w:rsidR="00675CB0" w:rsidRPr="00ED2273">
        <w:rPr>
          <w:rFonts w:cs="Arial"/>
          <w:szCs w:val="24"/>
        </w:rPr>
        <w:t>Hepatitis B</w:t>
      </w:r>
      <w:r w:rsidRPr="00ED2273">
        <w:rPr>
          <w:rFonts w:cs="Arial"/>
          <w:szCs w:val="24"/>
        </w:rPr>
        <w:t xml:space="preserve">, C and HIV testing and Hepatitis B vaccination </w:t>
      </w:r>
    </w:p>
    <w:p w14:paraId="6CAB2CFB" w14:textId="77777777" w:rsidR="00B243E6" w:rsidRPr="00ED2273" w:rsidRDefault="00B243E6" w:rsidP="00DB39E0">
      <w:pPr>
        <w:numPr>
          <w:ilvl w:val="0"/>
          <w:numId w:val="5"/>
        </w:numPr>
        <w:jc w:val="both"/>
        <w:rPr>
          <w:rFonts w:cs="Arial"/>
          <w:szCs w:val="24"/>
        </w:rPr>
      </w:pPr>
      <w:r w:rsidRPr="00ED2273">
        <w:rPr>
          <w:rFonts w:cs="Arial"/>
          <w:bCs/>
          <w:szCs w:val="24"/>
        </w:rPr>
        <w:t xml:space="preserve">improve joint working with statutory and voluntary services i.e. </w:t>
      </w:r>
      <w:r w:rsidRPr="00ED2273">
        <w:rPr>
          <w:rFonts w:cs="Arial"/>
          <w:szCs w:val="24"/>
        </w:rPr>
        <w:t>Children and Families’ and Safeguarding services</w:t>
      </w:r>
    </w:p>
    <w:p w14:paraId="7DE98DD8" w14:textId="77777777" w:rsidR="00B243E6" w:rsidRPr="00ED2273" w:rsidRDefault="00B243E6" w:rsidP="00B243E6">
      <w:pPr>
        <w:jc w:val="both"/>
        <w:rPr>
          <w:rFonts w:cs="Arial"/>
          <w:szCs w:val="24"/>
        </w:rPr>
      </w:pPr>
    </w:p>
    <w:p w14:paraId="59F59399" w14:textId="5382F402" w:rsidR="00B243E6" w:rsidRPr="00ED2273" w:rsidRDefault="00B243E6" w:rsidP="009B7154">
      <w:pPr>
        <w:ind w:hanging="426"/>
        <w:jc w:val="both"/>
        <w:rPr>
          <w:rFonts w:cs="Arial"/>
          <w:szCs w:val="24"/>
        </w:rPr>
      </w:pPr>
      <w:r w:rsidRPr="00ED2273">
        <w:rPr>
          <w:rFonts w:cs="Arial"/>
          <w:szCs w:val="24"/>
        </w:rPr>
        <w:tab/>
        <w:t xml:space="preserve">Officers seek authority to tender a new </w:t>
      </w:r>
      <w:r w:rsidR="00105155" w:rsidRPr="00ED2273">
        <w:rPr>
          <w:rFonts w:cs="Arial"/>
          <w:szCs w:val="24"/>
        </w:rPr>
        <w:t xml:space="preserve">Young People’s </w:t>
      </w:r>
      <w:r w:rsidRPr="00ED2273">
        <w:rPr>
          <w:rFonts w:cs="Arial"/>
          <w:szCs w:val="24"/>
        </w:rPr>
        <w:t xml:space="preserve">Substance Misuse </w:t>
      </w:r>
      <w:r w:rsidR="00105155" w:rsidRPr="00ED2273">
        <w:rPr>
          <w:rFonts w:cs="Arial"/>
          <w:szCs w:val="24"/>
        </w:rPr>
        <w:t>Service, the prop</w:t>
      </w:r>
      <w:r w:rsidRPr="00ED2273">
        <w:rPr>
          <w:rFonts w:cs="Arial"/>
          <w:szCs w:val="24"/>
        </w:rPr>
        <w:t xml:space="preserve">osed contract term </w:t>
      </w:r>
      <w:r w:rsidR="00105155" w:rsidRPr="00ED2273">
        <w:rPr>
          <w:rFonts w:cs="Arial"/>
          <w:szCs w:val="24"/>
        </w:rPr>
        <w:t>will be three years: 1</w:t>
      </w:r>
      <w:r w:rsidR="00105155" w:rsidRPr="00ED2273">
        <w:rPr>
          <w:rFonts w:cs="Arial"/>
          <w:szCs w:val="24"/>
          <w:vertAlign w:val="superscript"/>
        </w:rPr>
        <w:t>st</w:t>
      </w:r>
      <w:r w:rsidR="00105155" w:rsidRPr="00ED2273">
        <w:rPr>
          <w:rFonts w:cs="Arial"/>
          <w:szCs w:val="24"/>
        </w:rPr>
        <w:t xml:space="preserve"> April 2022 until 31</w:t>
      </w:r>
      <w:r w:rsidR="00105155" w:rsidRPr="00ED2273">
        <w:rPr>
          <w:rFonts w:cs="Arial"/>
          <w:szCs w:val="24"/>
          <w:vertAlign w:val="superscript"/>
        </w:rPr>
        <w:t>st</w:t>
      </w:r>
      <w:r w:rsidR="00105155" w:rsidRPr="00ED2273">
        <w:rPr>
          <w:rFonts w:cs="Arial"/>
          <w:szCs w:val="24"/>
        </w:rPr>
        <w:t xml:space="preserve"> March 2025. </w:t>
      </w:r>
      <w:r w:rsidRPr="00ED2273">
        <w:rPr>
          <w:rFonts w:cs="Arial"/>
          <w:szCs w:val="24"/>
        </w:rPr>
        <w:t xml:space="preserve"> </w:t>
      </w:r>
    </w:p>
    <w:p w14:paraId="2439D204" w14:textId="5FEA80F7" w:rsidR="00105155" w:rsidRPr="00ED2273" w:rsidRDefault="00105155" w:rsidP="00105155">
      <w:pPr>
        <w:spacing w:before="40" w:after="40"/>
        <w:jc w:val="both"/>
        <w:rPr>
          <w:rFonts w:cs="Arial"/>
          <w:b/>
        </w:rPr>
      </w:pPr>
    </w:p>
    <w:p w14:paraId="555D1469" w14:textId="194D1433" w:rsidR="00333FAA" w:rsidRPr="00ED2273" w:rsidRDefault="00B243E6" w:rsidP="003A2A23">
      <w:pPr>
        <w:spacing w:before="40" w:after="40"/>
        <w:ind w:hanging="426"/>
        <w:jc w:val="both"/>
        <w:rPr>
          <w:rFonts w:cs="Arial"/>
          <w:b/>
          <w:bCs/>
          <w:sz w:val="28"/>
          <w:szCs w:val="28"/>
        </w:rPr>
      </w:pPr>
      <w:r w:rsidRPr="00ED2273">
        <w:rPr>
          <w:rFonts w:cs="Arial"/>
          <w:szCs w:val="24"/>
        </w:rPr>
        <w:tab/>
      </w:r>
      <w:r w:rsidR="00333FAA" w:rsidRPr="00ED2273">
        <w:rPr>
          <w:rFonts w:cs="Arial"/>
          <w:b/>
          <w:bCs/>
          <w:sz w:val="28"/>
          <w:szCs w:val="28"/>
        </w:rPr>
        <w:t>Why a change is needed</w:t>
      </w:r>
    </w:p>
    <w:p w14:paraId="3120C48E" w14:textId="51214C6F" w:rsidR="00105155" w:rsidRPr="00ED2273" w:rsidRDefault="00105155" w:rsidP="00105155">
      <w:pPr>
        <w:rPr>
          <w:rFonts w:cs="Arial"/>
        </w:rPr>
      </w:pPr>
    </w:p>
    <w:p w14:paraId="7BDFF22C" w14:textId="2182684A" w:rsidR="00FF15A4" w:rsidRDefault="00105155" w:rsidP="00105155">
      <w:pPr>
        <w:jc w:val="both"/>
        <w:outlineLvl w:val="1"/>
        <w:rPr>
          <w:rFonts w:cs="Arial"/>
          <w:color w:val="0000FF"/>
          <w:sz w:val="28"/>
          <w:szCs w:val="28"/>
        </w:rPr>
      </w:pPr>
      <w:r w:rsidRPr="00ED2273">
        <w:rPr>
          <w:rFonts w:cs="Arial"/>
          <w:bCs/>
          <w:szCs w:val="24"/>
        </w:rPr>
        <w:t xml:space="preserve">There is no option to extend the current Harrow Young People’s Substance Misuse Service as the opportunity was not contained in the </w:t>
      </w:r>
      <w:r w:rsidR="000F6495">
        <w:rPr>
          <w:rFonts w:cs="Arial"/>
          <w:bCs/>
          <w:szCs w:val="24"/>
        </w:rPr>
        <w:t>current directly awarded</w:t>
      </w:r>
      <w:r w:rsidRPr="00ED2273">
        <w:rPr>
          <w:rFonts w:cs="Arial"/>
          <w:bCs/>
          <w:szCs w:val="24"/>
        </w:rPr>
        <w:t xml:space="preserve"> contract and this would leave Harrow Council vulnerable to challenge bearing in mind the value of this 3-year Contract. The new Service specification will reflect the outcome of the Harrow Public Health’s Needs Assessment undertaken this year </w:t>
      </w:r>
      <w:r w:rsidR="003A2A23" w:rsidRPr="00ED2273">
        <w:rPr>
          <w:rFonts w:cs="Arial"/>
          <w:bCs/>
          <w:szCs w:val="24"/>
        </w:rPr>
        <w:t>and will include additional</w:t>
      </w:r>
      <w:r w:rsidRPr="00ED2273">
        <w:rPr>
          <w:rFonts w:cs="Arial"/>
          <w:bCs/>
          <w:szCs w:val="24"/>
        </w:rPr>
        <w:t xml:space="preserve"> bespoke preventative work Primary school age children.</w:t>
      </w:r>
    </w:p>
    <w:p w14:paraId="7F8385B7" w14:textId="77777777" w:rsidR="00FF15A4" w:rsidRPr="00ED2273" w:rsidRDefault="00FF15A4" w:rsidP="00105155">
      <w:pPr>
        <w:jc w:val="both"/>
        <w:outlineLvl w:val="1"/>
        <w:rPr>
          <w:rFonts w:cs="Arial"/>
          <w:color w:val="0000FF"/>
          <w:sz w:val="28"/>
          <w:szCs w:val="28"/>
        </w:rPr>
      </w:pPr>
    </w:p>
    <w:p w14:paraId="5E3D76B0" w14:textId="5A927464" w:rsidR="00333FAA" w:rsidRPr="009B7154" w:rsidRDefault="00333FAA" w:rsidP="00333FAA">
      <w:pPr>
        <w:pStyle w:val="Heading2"/>
        <w:rPr>
          <w:rFonts w:ascii="Arial" w:hAnsi="Arial"/>
          <w:sz w:val="28"/>
          <w:szCs w:val="28"/>
        </w:rPr>
      </w:pPr>
      <w:r w:rsidRPr="009B7154">
        <w:rPr>
          <w:rFonts w:ascii="Arial" w:hAnsi="Arial"/>
          <w:sz w:val="28"/>
          <w:szCs w:val="28"/>
        </w:rPr>
        <w:t>Implications of the Recommendation</w:t>
      </w:r>
    </w:p>
    <w:p w14:paraId="6EBA6ACC" w14:textId="77777777" w:rsidR="002E7C22" w:rsidRPr="00675CB0" w:rsidRDefault="002E7C22" w:rsidP="002E7C22">
      <w:pPr>
        <w:rPr>
          <w:rFonts w:cs="Arial"/>
        </w:rPr>
      </w:pPr>
    </w:p>
    <w:p w14:paraId="76FF354C" w14:textId="77777777" w:rsidR="00333FAA" w:rsidRPr="009B7154" w:rsidRDefault="00333FAA" w:rsidP="00333FAA">
      <w:pPr>
        <w:pStyle w:val="Heading3"/>
        <w:rPr>
          <w:sz w:val="24"/>
          <w:szCs w:val="24"/>
        </w:rPr>
      </w:pPr>
      <w:r w:rsidRPr="009B7154">
        <w:rPr>
          <w:sz w:val="24"/>
          <w:szCs w:val="24"/>
        </w:rPr>
        <w:t>Considerations</w:t>
      </w:r>
    </w:p>
    <w:p w14:paraId="4CC3EE44" w14:textId="77777777" w:rsidR="002E7C22" w:rsidRPr="00ED2273" w:rsidRDefault="002E7C22" w:rsidP="002E7C22">
      <w:pPr>
        <w:rPr>
          <w:rFonts w:cs="Arial"/>
        </w:rPr>
      </w:pPr>
    </w:p>
    <w:p w14:paraId="1398850A" w14:textId="77777777" w:rsidR="002E7C22" w:rsidRPr="00ED2273" w:rsidRDefault="002E7C22" w:rsidP="002E7C22">
      <w:pPr>
        <w:jc w:val="both"/>
        <w:outlineLvl w:val="1"/>
        <w:rPr>
          <w:rFonts w:cs="Arial"/>
          <w:b/>
          <w:bCs/>
          <w:szCs w:val="24"/>
        </w:rPr>
      </w:pPr>
      <w:r w:rsidRPr="00ED2273">
        <w:rPr>
          <w:rFonts w:cs="Arial"/>
          <w:bCs/>
          <w:szCs w:val="24"/>
        </w:rPr>
        <w:t xml:space="preserve">The Service is currently funded from the existing Public Health budget - please see </w:t>
      </w:r>
      <w:r w:rsidRPr="00ED2273">
        <w:rPr>
          <w:rFonts w:cs="Arial"/>
          <w:b/>
          <w:bCs/>
          <w:szCs w:val="24"/>
        </w:rPr>
        <w:t>Financial Implications.</w:t>
      </w:r>
    </w:p>
    <w:p w14:paraId="5D349E68" w14:textId="77777777" w:rsidR="002E7C22" w:rsidRPr="00ED2273" w:rsidRDefault="002E7C22" w:rsidP="002E7C22">
      <w:pPr>
        <w:keepNext/>
        <w:jc w:val="both"/>
        <w:outlineLvl w:val="3"/>
        <w:rPr>
          <w:rFonts w:cs="Arial"/>
          <w:szCs w:val="24"/>
        </w:rPr>
      </w:pPr>
    </w:p>
    <w:p w14:paraId="412186B1" w14:textId="28B8A72A" w:rsidR="00563D4C" w:rsidRDefault="002E7C22" w:rsidP="009B7154">
      <w:pPr>
        <w:keepNext/>
        <w:jc w:val="both"/>
        <w:outlineLvl w:val="3"/>
        <w:rPr>
          <w:rFonts w:cs="Arial"/>
          <w:color w:val="0000FF"/>
        </w:rPr>
      </w:pPr>
      <w:r w:rsidRPr="00ED2273">
        <w:rPr>
          <w:rFonts w:cs="Arial"/>
          <w:szCs w:val="24"/>
        </w:rPr>
        <w:t xml:space="preserve">This Service will be contracted out to a Health or Registered Voluntary sector provider. TUPE will apply to this contract but there are no implications for L.A. Harrow. </w:t>
      </w:r>
    </w:p>
    <w:p w14:paraId="772690AA" w14:textId="77777777" w:rsidR="00FF15A4" w:rsidRPr="00ED2273" w:rsidRDefault="00FF15A4" w:rsidP="000929A6">
      <w:pPr>
        <w:rPr>
          <w:rFonts w:cs="Arial"/>
          <w:color w:val="0000FF"/>
        </w:rPr>
      </w:pPr>
    </w:p>
    <w:p w14:paraId="0A1DE5C5" w14:textId="4EF1C4DB" w:rsidR="00563D4C" w:rsidRDefault="00563D4C" w:rsidP="00563D4C">
      <w:pPr>
        <w:jc w:val="both"/>
        <w:rPr>
          <w:rFonts w:cs="Arial"/>
          <w:b/>
          <w:sz w:val="28"/>
          <w:szCs w:val="28"/>
        </w:rPr>
      </w:pPr>
      <w:r w:rsidRPr="0052079E">
        <w:rPr>
          <w:rFonts w:cs="Arial"/>
          <w:b/>
          <w:sz w:val="28"/>
          <w:szCs w:val="28"/>
        </w:rPr>
        <w:t>Local Performance</w:t>
      </w:r>
    </w:p>
    <w:p w14:paraId="2C19F427" w14:textId="77777777" w:rsidR="009B7154" w:rsidRPr="0052079E" w:rsidRDefault="009B7154" w:rsidP="00563D4C">
      <w:pPr>
        <w:jc w:val="both"/>
        <w:rPr>
          <w:rFonts w:cs="Arial"/>
          <w:b/>
          <w:sz w:val="28"/>
          <w:szCs w:val="28"/>
        </w:rPr>
      </w:pPr>
    </w:p>
    <w:p w14:paraId="38047283" w14:textId="51EAB77C" w:rsidR="00563D4C" w:rsidRPr="00ED2273" w:rsidRDefault="00563D4C" w:rsidP="00563D4C">
      <w:pPr>
        <w:jc w:val="both"/>
        <w:rPr>
          <w:rFonts w:cs="Arial"/>
          <w:b/>
          <w:szCs w:val="24"/>
        </w:rPr>
      </w:pPr>
      <w:r w:rsidRPr="00ED2273">
        <w:rPr>
          <w:rFonts w:cs="Arial"/>
          <w:szCs w:val="24"/>
        </w:rPr>
        <w:t xml:space="preserve">Contract Performance meeting each quarter – also attended by Harrow CCG </w:t>
      </w:r>
      <w:r w:rsidRPr="00ED2273">
        <w:rPr>
          <w:rStyle w:val="st1"/>
          <w:rFonts w:cs="Arial"/>
          <w:szCs w:val="24"/>
        </w:rPr>
        <w:t>Designated</w:t>
      </w:r>
      <w:r w:rsidRPr="00ED2273">
        <w:rPr>
          <w:rStyle w:val="st1"/>
          <w:rFonts w:cs="Arial"/>
          <w:b/>
          <w:bCs/>
          <w:szCs w:val="24"/>
        </w:rPr>
        <w:t xml:space="preserve"> </w:t>
      </w:r>
      <w:r w:rsidRPr="00ED2273">
        <w:rPr>
          <w:rStyle w:val="Emphasis"/>
          <w:rFonts w:cs="Arial"/>
          <w:b w:val="0"/>
          <w:bCs w:val="0"/>
          <w:szCs w:val="24"/>
        </w:rPr>
        <w:t>Nurse Safeguarding Children.</w:t>
      </w:r>
      <w:r w:rsidRPr="00ED2273">
        <w:rPr>
          <w:rFonts w:cs="Arial"/>
          <w:b/>
          <w:szCs w:val="24"/>
        </w:rPr>
        <w:t xml:space="preserve"> </w:t>
      </w:r>
    </w:p>
    <w:p w14:paraId="1DA9CB0E" w14:textId="5980BEAC" w:rsidR="00563D4C" w:rsidRPr="00ED2273" w:rsidRDefault="00563D4C" w:rsidP="00563D4C">
      <w:pPr>
        <w:jc w:val="both"/>
        <w:rPr>
          <w:rFonts w:cs="Arial"/>
          <w:szCs w:val="24"/>
        </w:rPr>
      </w:pPr>
      <w:r w:rsidRPr="00ED2273">
        <w:rPr>
          <w:rFonts w:cs="Arial"/>
          <w:szCs w:val="24"/>
        </w:rPr>
        <w:t>Performance data taken from L.A. Harrow Substance Misuse Service Performance Template, PHE National Drug Treatment Monitoring Service (NDTMS),</w:t>
      </w:r>
      <w:r w:rsidRPr="00ED2273">
        <w:rPr>
          <w:rStyle w:val="st1"/>
          <w:rFonts w:cs="Arial"/>
          <w:szCs w:val="24"/>
        </w:rPr>
        <w:t xml:space="preserve"> </w:t>
      </w:r>
      <w:r w:rsidRPr="00ED2273">
        <w:rPr>
          <w:rFonts w:cs="Arial"/>
          <w:szCs w:val="24"/>
        </w:rPr>
        <w:t>Reports i.e. HSCB.</w:t>
      </w:r>
    </w:p>
    <w:p w14:paraId="0CDAFD1F" w14:textId="77777777" w:rsidR="00714BEE" w:rsidRPr="00ED2273" w:rsidRDefault="00714BEE" w:rsidP="001C7E35">
      <w:pPr>
        <w:tabs>
          <w:tab w:val="left" w:pos="7245"/>
        </w:tabs>
        <w:rPr>
          <w:rFonts w:cs="Arial"/>
          <w:i/>
          <w:color w:val="0000FF"/>
        </w:rPr>
      </w:pPr>
    </w:p>
    <w:p w14:paraId="31409836" w14:textId="77777777" w:rsidR="002A3FEF" w:rsidRPr="00ED2273" w:rsidRDefault="002A3FEF" w:rsidP="002A3FEF">
      <w:pPr>
        <w:pStyle w:val="Heading4"/>
        <w:rPr>
          <w:sz w:val="28"/>
          <w:szCs w:val="28"/>
        </w:rPr>
      </w:pPr>
      <w:r w:rsidRPr="00ED2273">
        <w:rPr>
          <w:sz w:val="28"/>
          <w:szCs w:val="28"/>
        </w:rPr>
        <w:t>Dat</w:t>
      </w:r>
      <w:r w:rsidR="00DE72CF" w:rsidRPr="00ED2273">
        <w:rPr>
          <w:sz w:val="28"/>
          <w:szCs w:val="28"/>
        </w:rPr>
        <w:t>a</w:t>
      </w:r>
      <w:r w:rsidRPr="00ED2273">
        <w:rPr>
          <w:sz w:val="28"/>
          <w:szCs w:val="28"/>
        </w:rPr>
        <w:t xml:space="preserve"> Protection Implications</w:t>
      </w:r>
    </w:p>
    <w:p w14:paraId="4F727611" w14:textId="60BD514B" w:rsidR="000929A6" w:rsidRPr="00ED2273" w:rsidRDefault="000929A6" w:rsidP="000929A6">
      <w:pPr>
        <w:rPr>
          <w:rFonts w:cs="Arial"/>
          <w:sz w:val="28"/>
          <w:szCs w:val="28"/>
        </w:rPr>
      </w:pPr>
    </w:p>
    <w:p w14:paraId="47420FFA" w14:textId="77777777" w:rsidR="00DB39E0" w:rsidRPr="00ED2273" w:rsidRDefault="00DB39E0" w:rsidP="00DB39E0">
      <w:pPr>
        <w:ind w:right="-55"/>
        <w:jc w:val="both"/>
        <w:rPr>
          <w:rFonts w:cs="Arial"/>
          <w:lang w:eastAsia="en-GB"/>
        </w:rPr>
      </w:pPr>
      <w:r w:rsidRPr="00ED2273">
        <w:rPr>
          <w:rFonts w:cs="Arial"/>
          <w:lang w:eastAsia="en-GB"/>
        </w:rPr>
        <w:t>Following a review of documentation for the purposes of compliancy with GDPR, PHE have put in place a Data Sharing Protocol to cover the sharing of data by L.A. Harrow commissioned services. PHE Data Sharing Protocol (for the purposes of sharing some service user treatment data with the PHE NDTMS system) has been reviewed/approved by L.A. Harrow Information Governance Lead and subsequently signed off by L.A. Harrow Substance Misuse Commissioner.</w:t>
      </w:r>
    </w:p>
    <w:p w14:paraId="4C6BCA7A" w14:textId="77777777" w:rsidR="00DB39E0" w:rsidRPr="00ED2273" w:rsidRDefault="00DB39E0" w:rsidP="00DB39E0">
      <w:pPr>
        <w:ind w:right="-55"/>
        <w:jc w:val="both"/>
        <w:rPr>
          <w:rFonts w:cs="Arial"/>
          <w:lang w:eastAsia="en-GB"/>
        </w:rPr>
      </w:pPr>
    </w:p>
    <w:p w14:paraId="2B2D679E" w14:textId="248B88DA" w:rsidR="00DB39E0" w:rsidRPr="00ED2273" w:rsidRDefault="00DB39E0" w:rsidP="00DB39E0">
      <w:pPr>
        <w:rPr>
          <w:rFonts w:cs="Arial"/>
          <w:iCs/>
          <w:color w:val="0000FF"/>
        </w:rPr>
      </w:pPr>
      <w:r w:rsidRPr="00ED2273">
        <w:rPr>
          <w:rFonts w:cs="Arial"/>
          <w:lang w:eastAsia="en-GB"/>
        </w:rPr>
        <w:t>The re-procurement of the new Harrow Adult Substance Misuse Service will require a Case Management System to be incorporated within the new Service.</w:t>
      </w:r>
    </w:p>
    <w:p w14:paraId="75284416" w14:textId="203024E4" w:rsidR="00A81E19" w:rsidRPr="00ED2273" w:rsidRDefault="00A81E19" w:rsidP="00A1211C">
      <w:pPr>
        <w:pStyle w:val="Heading3"/>
        <w:spacing w:before="480" w:after="240"/>
      </w:pPr>
      <w:r w:rsidRPr="00ED2273">
        <w:t>Risk Management Implications</w:t>
      </w:r>
    </w:p>
    <w:p w14:paraId="11FEAD9B" w14:textId="6134E345" w:rsidR="001D2938" w:rsidRPr="00ED2273" w:rsidRDefault="001D2938" w:rsidP="001D2938">
      <w:pPr>
        <w:jc w:val="both"/>
        <w:rPr>
          <w:rFonts w:cs="Arial"/>
        </w:rPr>
      </w:pPr>
      <w:r w:rsidRPr="00ED2273">
        <w:rPr>
          <w:rFonts w:cs="Arial"/>
        </w:rPr>
        <w:t>It is important to note that sourcing suitable community premises may not be feasible within the procurement timescales. In addition</w:t>
      </w:r>
      <w:r w:rsidR="00B477C4">
        <w:rPr>
          <w:rFonts w:cs="Arial"/>
        </w:rPr>
        <w:t>,</w:t>
      </w:r>
      <w:r w:rsidRPr="00ED2273">
        <w:rPr>
          <w:rFonts w:cs="Arial"/>
        </w:rPr>
        <w:t xml:space="preserve"> the premises need to meet all legal and planning regulations in order to deliver core services. An example where delay may occur and affect the procurement timetable may be the need of a D1 planning status for the treatment services. Whilst the new provider develops their own property strategy to locate within the community we will work with the outgoing and incoming Provider to ensure that the service is not disrupted. </w:t>
      </w:r>
    </w:p>
    <w:p w14:paraId="7256BE64" w14:textId="77777777" w:rsidR="001D2938" w:rsidRPr="00ED2273" w:rsidRDefault="001D2938" w:rsidP="001D2938">
      <w:pPr>
        <w:ind w:hanging="567"/>
        <w:jc w:val="both"/>
        <w:rPr>
          <w:rFonts w:cs="Arial"/>
        </w:rPr>
      </w:pPr>
    </w:p>
    <w:p w14:paraId="04D2ED2E" w14:textId="10EBEB73" w:rsidR="001D2938" w:rsidRPr="00ED2273" w:rsidRDefault="001D2938" w:rsidP="001D2938">
      <w:pPr>
        <w:jc w:val="both"/>
        <w:rPr>
          <w:rFonts w:cs="Arial"/>
          <w:color w:val="000000"/>
          <w:szCs w:val="24"/>
        </w:rPr>
      </w:pPr>
      <w:r w:rsidRPr="00ED2273">
        <w:rPr>
          <w:rFonts w:cs="Arial"/>
          <w:color w:val="000000"/>
          <w:szCs w:val="24"/>
        </w:rPr>
        <w:t xml:space="preserve">Services </w:t>
      </w:r>
      <w:r w:rsidR="003A2A23" w:rsidRPr="00ED2273">
        <w:rPr>
          <w:rFonts w:cs="Arial"/>
          <w:color w:val="000000"/>
          <w:szCs w:val="24"/>
        </w:rPr>
        <w:t>u</w:t>
      </w:r>
      <w:r w:rsidRPr="00ED2273">
        <w:rPr>
          <w:rFonts w:cs="Arial"/>
          <w:color w:val="000000"/>
          <w:szCs w:val="24"/>
        </w:rPr>
        <w:t xml:space="preserve">sers/young people will be updated via the current Service’s </w:t>
      </w:r>
      <w:r w:rsidR="003A2A23" w:rsidRPr="00ED2273">
        <w:rPr>
          <w:rFonts w:cs="Arial"/>
          <w:color w:val="000000"/>
          <w:szCs w:val="24"/>
        </w:rPr>
        <w:t>in-house communications and Harrow wide communications via Safeguarding Children Board communications.</w:t>
      </w:r>
    </w:p>
    <w:p w14:paraId="16B20D37" w14:textId="77777777" w:rsidR="001D2938" w:rsidRPr="00ED2273" w:rsidRDefault="001D2938" w:rsidP="001D2938">
      <w:pPr>
        <w:rPr>
          <w:rFonts w:cs="Arial"/>
        </w:rPr>
      </w:pPr>
    </w:p>
    <w:p w14:paraId="61336D4A" w14:textId="12DDA8CE" w:rsidR="00A16895" w:rsidRPr="00ED2273" w:rsidRDefault="00A16895" w:rsidP="00A16895">
      <w:pPr>
        <w:ind w:right="141"/>
        <w:rPr>
          <w:rFonts w:cs="Arial"/>
          <w:color w:val="4F81BD" w:themeColor="accent1"/>
          <w:szCs w:val="24"/>
          <w:lang w:val="en-US" w:eastAsia="en-GB"/>
        </w:rPr>
      </w:pPr>
      <w:r>
        <w:rPr>
          <w:rFonts w:cs="Arial"/>
          <w:szCs w:val="24"/>
          <w:lang w:val="en-US" w:eastAsia="en-GB"/>
        </w:rPr>
        <w:t>A s</w:t>
      </w:r>
      <w:r w:rsidRPr="00ED2273">
        <w:rPr>
          <w:rFonts w:cs="Arial"/>
          <w:szCs w:val="24"/>
          <w:lang w:val="en-US" w:eastAsia="en-GB"/>
        </w:rPr>
        <w:t xml:space="preserve">eparate risk register </w:t>
      </w:r>
      <w:r>
        <w:rPr>
          <w:rFonts w:cs="Arial"/>
          <w:szCs w:val="24"/>
          <w:lang w:val="en-US" w:eastAsia="en-GB"/>
        </w:rPr>
        <w:t>is</w:t>
      </w:r>
      <w:r w:rsidRPr="00ED2273">
        <w:rPr>
          <w:rFonts w:cs="Arial"/>
          <w:szCs w:val="24"/>
          <w:lang w:val="en-US" w:eastAsia="en-GB"/>
        </w:rPr>
        <w:t xml:space="preserve"> in place for the procurement and mobilisation of the new Service</w:t>
      </w:r>
      <w:r>
        <w:rPr>
          <w:rFonts w:cs="Arial"/>
          <w:szCs w:val="24"/>
          <w:lang w:val="en-US" w:eastAsia="en-GB"/>
        </w:rPr>
        <w:t>.</w:t>
      </w:r>
    </w:p>
    <w:p w14:paraId="1DEC7D84" w14:textId="77777777" w:rsidR="00A16895" w:rsidRDefault="00A16895" w:rsidP="00105B8A">
      <w:pPr>
        <w:tabs>
          <w:tab w:val="left" w:pos="5610"/>
        </w:tabs>
        <w:ind w:right="81"/>
        <w:rPr>
          <w:rFonts w:cs="Arial"/>
          <w:szCs w:val="24"/>
          <w:lang w:val="en-US"/>
        </w:rPr>
      </w:pPr>
    </w:p>
    <w:p w14:paraId="0B289C2F" w14:textId="0CF4945D" w:rsidR="00C53F1A" w:rsidRPr="00ED2273" w:rsidRDefault="00C53F1A" w:rsidP="00105B8A">
      <w:pPr>
        <w:tabs>
          <w:tab w:val="left" w:pos="5610"/>
        </w:tabs>
        <w:ind w:right="81"/>
        <w:rPr>
          <w:rFonts w:cs="Arial"/>
          <w:color w:val="0000FF"/>
        </w:rPr>
      </w:pPr>
      <w:r w:rsidRPr="00ED2273">
        <w:rPr>
          <w:rFonts w:cs="Arial"/>
          <w:szCs w:val="24"/>
          <w:lang w:val="en-US"/>
        </w:rPr>
        <w:t xml:space="preserve">Risks included on corporate or directorate risk register? </w:t>
      </w:r>
      <w:r w:rsidRPr="00ED2273">
        <w:rPr>
          <w:rFonts w:cs="Arial"/>
          <w:b/>
          <w:bCs/>
          <w:szCs w:val="24"/>
          <w:lang w:val="en-US"/>
        </w:rPr>
        <w:t>No</w:t>
      </w:r>
    </w:p>
    <w:p w14:paraId="72B374FF" w14:textId="3039A422" w:rsidR="00C53F1A" w:rsidRPr="00ED2273" w:rsidRDefault="00C53F1A" w:rsidP="00A16895">
      <w:pPr>
        <w:ind w:left="-142" w:right="141"/>
        <w:rPr>
          <w:rFonts w:cs="Arial"/>
        </w:rPr>
      </w:pPr>
      <w:r w:rsidRPr="00ED2273">
        <w:rPr>
          <w:rFonts w:cs="Arial"/>
          <w:szCs w:val="24"/>
          <w:lang w:val="en-US" w:eastAsia="en-GB"/>
        </w:rPr>
        <w:t xml:space="preserve">  </w:t>
      </w:r>
    </w:p>
    <w:p w14:paraId="2E054B04" w14:textId="5BC197E9" w:rsidR="00C53F1A" w:rsidRPr="00ED2273" w:rsidRDefault="00C53F1A" w:rsidP="00105B8A">
      <w:pPr>
        <w:tabs>
          <w:tab w:val="left" w:pos="5610"/>
        </w:tabs>
        <w:ind w:right="81"/>
        <w:rPr>
          <w:rFonts w:cs="Arial"/>
        </w:rPr>
      </w:pPr>
      <w:r w:rsidRPr="00ED2273">
        <w:rPr>
          <w:rFonts w:cs="Arial"/>
        </w:rPr>
        <w:t xml:space="preserve">The relevant risks contained in the register are attached/summarised below. </w:t>
      </w:r>
      <w:r w:rsidR="00842BD7" w:rsidRPr="00ED2273">
        <w:rPr>
          <w:rFonts w:cs="Arial"/>
          <w:b/>
          <w:bCs/>
        </w:rPr>
        <w:t>Yes</w:t>
      </w:r>
      <w:r w:rsidR="002A3145" w:rsidRPr="00ED2273">
        <w:rPr>
          <w:rFonts w:cs="Arial"/>
          <w:b/>
          <w:bCs/>
          <w:szCs w:val="24"/>
          <w:lang w:val="en-US" w:eastAsia="en-GB"/>
        </w:rPr>
        <w:t xml:space="preserve"> </w:t>
      </w:r>
      <w:r w:rsidR="002A3145" w:rsidRPr="00ED2273">
        <w:rPr>
          <w:rFonts w:cs="Arial"/>
          <w:szCs w:val="24"/>
          <w:lang w:val="en-US" w:eastAsia="en-GB"/>
        </w:rPr>
        <w:t>– please see above response</w:t>
      </w:r>
    </w:p>
    <w:p w14:paraId="45AEB19F" w14:textId="77777777" w:rsidR="00105B8A" w:rsidRPr="00ED2273" w:rsidRDefault="00105B8A" w:rsidP="00105B8A">
      <w:pPr>
        <w:rPr>
          <w:rFonts w:cs="Arial"/>
        </w:rPr>
      </w:pPr>
    </w:p>
    <w:p w14:paraId="68B1512C" w14:textId="2759935A" w:rsidR="00C53F1A" w:rsidRPr="00ED2273" w:rsidRDefault="00C53F1A" w:rsidP="00105B8A">
      <w:pPr>
        <w:rPr>
          <w:rFonts w:cs="Arial"/>
        </w:rPr>
      </w:pPr>
      <w:r w:rsidRPr="00ED2273">
        <w:rPr>
          <w:rFonts w:cs="Arial"/>
        </w:rPr>
        <w:lastRenderedPageBreak/>
        <w:t xml:space="preserve">The following key risks should be taken </w:t>
      </w:r>
      <w:r w:rsidR="00105B8A" w:rsidRPr="00ED2273">
        <w:rPr>
          <w:rFonts w:cs="Arial"/>
        </w:rPr>
        <w:t>i</w:t>
      </w:r>
      <w:r w:rsidRPr="00ED2273">
        <w:rPr>
          <w:rFonts w:cs="Arial"/>
        </w:rPr>
        <w:t>nto account when agreeing the recommendations in this report:</w:t>
      </w:r>
    </w:p>
    <w:p w14:paraId="7583FA52" w14:textId="77777777" w:rsidR="00C53F1A" w:rsidRPr="00ED2273"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539"/>
        <w:gridCol w:w="3402"/>
        <w:gridCol w:w="1694"/>
      </w:tblGrid>
      <w:tr w:rsidR="00C53F1A" w:rsidRPr="00ED2273" w14:paraId="1A5F4846" w14:textId="77777777" w:rsidTr="00A95874">
        <w:trPr>
          <w:tblHeader/>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706DC" w14:textId="4B331DCA" w:rsidR="00C53F1A" w:rsidRPr="00ED2273" w:rsidRDefault="00C53F1A">
            <w:pPr>
              <w:spacing w:line="247" w:lineRule="auto"/>
              <w:ind w:right="141"/>
              <w:rPr>
                <w:rFonts w:cs="Arial"/>
                <w:b/>
                <w:bCs/>
                <w:szCs w:val="24"/>
                <w:lang w:val="en-US" w:eastAsia="en-GB"/>
              </w:rPr>
            </w:pPr>
            <w:r w:rsidRPr="00ED2273">
              <w:rPr>
                <w:rFonts w:cs="Arial"/>
                <w:b/>
                <w:bCs/>
                <w:szCs w:val="24"/>
                <w:lang w:val="en-US" w:eastAsia="en-GB"/>
              </w:rPr>
              <w:t>Risk Description</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F157D" w14:textId="7CDD2721" w:rsidR="00C53F1A" w:rsidRPr="00ED2273" w:rsidRDefault="00C53F1A">
            <w:pPr>
              <w:spacing w:line="247" w:lineRule="auto"/>
              <w:ind w:right="141"/>
              <w:rPr>
                <w:rFonts w:cs="Arial"/>
                <w:b/>
                <w:bCs/>
                <w:szCs w:val="24"/>
                <w:lang w:val="en-US" w:eastAsia="en-GB"/>
              </w:rPr>
            </w:pPr>
            <w:r w:rsidRPr="00ED2273">
              <w:rPr>
                <w:rFonts w:cs="Arial"/>
                <w:b/>
                <w:bCs/>
                <w:szCs w:val="24"/>
                <w:lang w:val="en-US" w:eastAsia="en-GB"/>
              </w:rPr>
              <w:t>Mitigations</w:t>
            </w:r>
          </w:p>
        </w:tc>
        <w:tc>
          <w:tcPr>
            <w:tcW w:w="1694" w:type="dxa"/>
            <w:tcBorders>
              <w:top w:val="single" w:sz="4" w:space="0" w:color="000000"/>
              <w:left w:val="single" w:sz="4" w:space="0" w:color="000000"/>
              <w:bottom w:val="single" w:sz="4" w:space="0" w:color="000000"/>
              <w:right w:val="single" w:sz="4" w:space="0" w:color="000000"/>
            </w:tcBorders>
            <w:vAlign w:val="center"/>
            <w:hideMark/>
          </w:tcPr>
          <w:p w14:paraId="6E284801" w14:textId="388E856E" w:rsidR="00C53F1A" w:rsidRPr="00ED2273" w:rsidRDefault="00C53F1A" w:rsidP="00105B8A">
            <w:pPr>
              <w:spacing w:line="247" w:lineRule="auto"/>
              <w:ind w:left="171" w:right="141"/>
              <w:rPr>
                <w:rFonts w:cs="Arial"/>
                <w:b/>
                <w:bCs/>
                <w:szCs w:val="24"/>
                <w:lang w:val="en-US" w:eastAsia="en-GB"/>
              </w:rPr>
            </w:pPr>
            <w:r w:rsidRPr="00ED2273">
              <w:rPr>
                <w:rFonts w:cs="Arial"/>
                <w:b/>
                <w:bCs/>
                <w:szCs w:val="24"/>
                <w:lang w:val="en-US" w:eastAsia="en-GB"/>
              </w:rPr>
              <w:t>RAG Status</w:t>
            </w:r>
          </w:p>
        </w:tc>
      </w:tr>
      <w:tr w:rsidR="00C53F1A" w:rsidRPr="00ED2273" w14:paraId="1A42CB99" w14:textId="77777777" w:rsidTr="009B7154">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EA297" w14:textId="77777777" w:rsidR="00842BD7" w:rsidRPr="00ED2273" w:rsidRDefault="00842BD7" w:rsidP="00842BD7">
            <w:pPr>
              <w:rPr>
                <w:rFonts w:cs="Arial"/>
                <w:b/>
              </w:rPr>
            </w:pPr>
            <w:r w:rsidRPr="00ED2273">
              <w:rPr>
                <w:rFonts w:cs="Arial"/>
                <w:b/>
              </w:rPr>
              <w:t>Risk if Proposal does not go ahead:</w:t>
            </w:r>
          </w:p>
          <w:p w14:paraId="54646D49" w14:textId="1D63893F" w:rsidR="00C53F1A" w:rsidRPr="00ED2273" w:rsidRDefault="00842BD7" w:rsidP="00AC17EE">
            <w:pPr>
              <w:autoSpaceDE w:val="0"/>
              <w:autoSpaceDN w:val="0"/>
              <w:adjustRightInd w:val="0"/>
              <w:rPr>
                <w:rFonts w:cs="Arial"/>
                <w:szCs w:val="24"/>
                <w:lang w:val="en-US" w:eastAsia="en-GB"/>
              </w:rPr>
            </w:pPr>
            <w:r w:rsidRPr="00ED2273">
              <w:rPr>
                <w:rFonts w:cs="Arial"/>
                <w:szCs w:val="24"/>
                <w:lang w:eastAsia="en-GB"/>
              </w:rPr>
              <w:t xml:space="preserve">L.A. Harrow will be unable to fulfil its obligation under </w:t>
            </w:r>
            <w:r w:rsidRPr="00ED2273">
              <w:rPr>
                <w:rFonts w:cs="Arial"/>
                <w:lang w:eastAsia="en-GB"/>
              </w:rPr>
              <w:t xml:space="preserve">Health and Social Care Act 2012, Criminal Justice Act 1991 and Children’s Act 1989 </w:t>
            </w:r>
            <w:r w:rsidRPr="00ED2273">
              <w:rPr>
                <w:rFonts w:cs="Arial"/>
                <w:szCs w:val="24"/>
                <w:lang w:eastAsia="en-GB"/>
              </w:rPr>
              <w:t xml:space="preserve">to ensure effective substance misuse services </w:t>
            </w:r>
            <w:r w:rsidR="00E571AE" w:rsidRPr="00ED2273">
              <w:rPr>
                <w:rFonts w:cs="Arial"/>
                <w:szCs w:val="24"/>
                <w:lang w:eastAsia="en-GB"/>
              </w:rPr>
              <w:t xml:space="preserve">(to educate/deter and treat) </w:t>
            </w:r>
            <w:r w:rsidRPr="00ED2273">
              <w:rPr>
                <w:rFonts w:cs="Arial"/>
                <w:szCs w:val="24"/>
                <w:lang w:eastAsia="en-GB"/>
              </w:rPr>
              <w:t xml:space="preserve">are in place to meet the needs of Harrow </w:t>
            </w:r>
            <w:r w:rsidR="00AC17EE" w:rsidRPr="00ED2273">
              <w:rPr>
                <w:rFonts w:cs="Arial"/>
                <w:szCs w:val="24"/>
                <w:lang w:eastAsia="en-GB"/>
              </w:rPr>
              <w:t xml:space="preserve">young people and their </w:t>
            </w:r>
            <w:r w:rsidRPr="00ED2273">
              <w:rPr>
                <w:rFonts w:cs="Arial"/>
                <w:szCs w:val="24"/>
                <w:lang w:eastAsia="en-GB"/>
              </w:rPr>
              <w:t>families</w:t>
            </w:r>
            <w:r w:rsidR="00E571AE" w:rsidRPr="00ED2273">
              <w:rPr>
                <w:rFonts w:cs="Arial"/>
                <w:szCs w:val="24"/>
                <w:lang w:eastAsia="en-GB"/>
              </w:rPr>
              <w:t xml:space="preserve"> </w:t>
            </w:r>
            <w:r w:rsidRPr="00ED2273">
              <w:rPr>
                <w:rFonts w:cs="Arial"/>
                <w:szCs w:val="24"/>
                <w:lang w:eastAsia="en-GB"/>
              </w:rPr>
              <w:t xml:space="preserve">to mitigate the negative effect to the </w:t>
            </w:r>
            <w:r w:rsidR="00E571AE" w:rsidRPr="00ED2273">
              <w:rPr>
                <w:rFonts w:cs="Arial"/>
                <w:szCs w:val="24"/>
                <w:lang w:eastAsia="en-GB"/>
              </w:rPr>
              <w:t xml:space="preserve">young people, their families and the </w:t>
            </w:r>
            <w:r w:rsidRPr="00ED2273">
              <w:rPr>
                <w:rFonts w:cs="Arial"/>
                <w:szCs w:val="24"/>
                <w:lang w:eastAsia="en-GB"/>
              </w:rPr>
              <w:t>wider community</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16AC7" w14:textId="7053FF8A" w:rsidR="00C53F1A" w:rsidRPr="00847576" w:rsidRDefault="004F21F6" w:rsidP="00847576">
            <w:pPr>
              <w:pStyle w:val="ListParagraph"/>
              <w:numPr>
                <w:ilvl w:val="0"/>
                <w:numId w:val="12"/>
              </w:numPr>
              <w:suppressAutoHyphens/>
              <w:autoSpaceDN w:val="0"/>
              <w:spacing w:line="247" w:lineRule="auto"/>
              <w:ind w:left="175" w:right="141" w:hanging="175"/>
              <w:rPr>
                <w:rFonts w:cs="Arial"/>
                <w:szCs w:val="24"/>
                <w:lang w:val="en-US" w:eastAsia="en-GB"/>
              </w:rPr>
            </w:pPr>
            <w:r w:rsidRPr="00847576">
              <w:rPr>
                <w:rFonts w:cs="Arial"/>
                <w:szCs w:val="24"/>
                <w:lang w:val="en-US" w:eastAsia="en-GB"/>
              </w:rPr>
              <w:t xml:space="preserve">Approval of Cabinet to </w:t>
            </w:r>
            <w:r w:rsidR="00E11C7B" w:rsidRPr="00847576">
              <w:rPr>
                <w:rFonts w:cs="Arial"/>
                <w:szCs w:val="24"/>
                <w:lang w:val="en-US" w:eastAsia="en-GB"/>
              </w:rPr>
              <w:t>p</w:t>
            </w:r>
            <w:r w:rsidRPr="00847576">
              <w:rPr>
                <w:rFonts w:cs="Arial"/>
                <w:szCs w:val="24"/>
                <w:lang w:val="en-US" w:eastAsia="en-GB"/>
              </w:rPr>
              <w:t xml:space="preserve">rocurement </w:t>
            </w:r>
            <w:r w:rsidR="00E11C7B" w:rsidRPr="00847576">
              <w:rPr>
                <w:rFonts w:cs="Arial"/>
                <w:szCs w:val="24"/>
                <w:lang w:val="en-US" w:eastAsia="en-GB"/>
              </w:rPr>
              <w:t>of the se</w:t>
            </w:r>
            <w:r w:rsidRPr="00847576">
              <w:rPr>
                <w:rFonts w:cs="Arial"/>
                <w:szCs w:val="24"/>
                <w:lang w:val="en-US" w:eastAsia="en-GB"/>
              </w:rPr>
              <w:t>rvice</w:t>
            </w:r>
          </w:p>
          <w:p w14:paraId="617F5288" w14:textId="6C8E1FEB" w:rsidR="00847576" w:rsidRDefault="00847576" w:rsidP="004F21F6">
            <w:pPr>
              <w:suppressAutoHyphens/>
              <w:autoSpaceDN w:val="0"/>
              <w:spacing w:line="247" w:lineRule="auto"/>
              <w:ind w:right="141"/>
              <w:rPr>
                <w:rFonts w:cs="Arial"/>
                <w:szCs w:val="24"/>
                <w:lang w:val="en-US" w:eastAsia="en-GB"/>
              </w:rPr>
            </w:pPr>
          </w:p>
          <w:p w14:paraId="6A226F90" w14:textId="77777777" w:rsidR="00847576" w:rsidRPr="00747F59" w:rsidRDefault="00847576" w:rsidP="00847576">
            <w:pPr>
              <w:pStyle w:val="ListParagraph"/>
              <w:numPr>
                <w:ilvl w:val="0"/>
                <w:numId w:val="11"/>
              </w:numPr>
              <w:suppressAutoHyphens/>
              <w:autoSpaceDN w:val="0"/>
              <w:spacing w:line="247" w:lineRule="auto"/>
              <w:ind w:left="178" w:right="141" w:hanging="178"/>
              <w:rPr>
                <w:rFonts w:cs="Arial"/>
                <w:szCs w:val="24"/>
                <w:lang w:val="en-US" w:eastAsia="en-GB"/>
              </w:rPr>
            </w:pPr>
            <w:r w:rsidRPr="00747F59">
              <w:rPr>
                <w:rFonts w:cs="Arial"/>
                <w:color w:val="000000"/>
                <w:szCs w:val="24"/>
              </w:rPr>
              <w:t>Service users/young people to be kept updated via the current Service’s in-house communications and Harrow-wide communications via Safeguarding Children Board communications.</w:t>
            </w:r>
          </w:p>
          <w:p w14:paraId="236B6585" w14:textId="77777777" w:rsidR="00847576" w:rsidRPr="00ED2273" w:rsidRDefault="00847576" w:rsidP="004F21F6">
            <w:pPr>
              <w:suppressAutoHyphens/>
              <w:autoSpaceDN w:val="0"/>
              <w:spacing w:line="247" w:lineRule="auto"/>
              <w:ind w:right="141"/>
              <w:rPr>
                <w:rFonts w:cs="Arial"/>
                <w:szCs w:val="24"/>
                <w:lang w:val="en-US" w:eastAsia="en-GB"/>
              </w:rPr>
            </w:pPr>
          </w:p>
          <w:p w14:paraId="09E56F4A" w14:textId="77777777" w:rsidR="00C53F1A" w:rsidRPr="00ED2273" w:rsidRDefault="00C53F1A" w:rsidP="00AC17EE">
            <w:pPr>
              <w:suppressAutoHyphens/>
              <w:autoSpaceDN w:val="0"/>
              <w:spacing w:line="247" w:lineRule="auto"/>
              <w:ind w:right="141"/>
              <w:rPr>
                <w:rFonts w:cs="Arial"/>
                <w:szCs w:val="24"/>
                <w:lang w:val="en-US" w:eastAsia="en-GB"/>
              </w:rPr>
            </w:pPr>
          </w:p>
        </w:tc>
        <w:tc>
          <w:tcPr>
            <w:tcW w:w="1694" w:type="dxa"/>
            <w:tcBorders>
              <w:top w:val="single" w:sz="4" w:space="0" w:color="000000"/>
              <w:left w:val="single" w:sz="4" w:space="0" w:color="000000"/>
              <w:bottom w:val="single" w:sz="4" w:space="0" w:color="000000"/>
              <w:right w:val="single" w:sz="4" w:space="0" w:color="000000"/>
            </w:tcBorders>
            <w:shd w:val="clear" w:color="auto" w:fill="FF0000"/>
            <w:hideMark/>
          </w:tcPr>
          <w:p w14:paraId="41EB1079" w14:textId="124B38C7" w:rsidR="00C53F1A" w:rsidRPr="00ED2273" w:rsidRDefault="00C53F1A" w:rsidP="00105B8A">
            <w:pPr>
              <w:spacing w:line="247" w:lineRule="auto"/>
              <w:ind w:left="171" w:right="141"/>
              <w:rPr>
                <w:rFonts w:cs="Arial"/>
                <w:szCs w:val="24"/>
                <w:lang w:val="en-US" w:eastAsia="en-GB"/>
              </w:rPr>
            </w:pPr>
            <w:r w:rsidRPr="00ED2273">
              <w:rPr>
                <w:rFonts w:cs="Arial"/>
                <w:szCs w:val="24"/>
                <w:lang w:val="en-US" w:eastAsia="en-GB"/>
              </w:rPr>
              <w:t>Red</w:t>
            </w:r>
            <w:r w:rsidR="00AC17EE" w:rsidRPr="00ED2273">
              <w:rPr>
                <w:rFonts w:cs="Arial"/>
                <w:szCs w:val="24"/>
                <w:lang w:val="en-US" w:eastAsia="en-GB"/>
              </w:rPr>
              <w:t xml:space="preserve"> – whilst awaiting approval by Cabinet</w:t>
            </w:r>
          </w:p>
          <w:p w14:paraId="7CBDA40B" w14:textId="77777777" w:rsidR="00AC17EE" w:rsidRPr="00ED2273" w:rsidRDefault="00AC17EE" w:rsidP="00105B8A">
            <w:pPr>
              <w:spacing w:line="247" w:lineRule="auto"/>
              <w:ind w:left="171" w:right="141"/>
              <w:rPr>
                <w:rFonts w:cs="Arial"/>
                <w:szCs w:val="24"/>
                <w:lang w:val="en-US" w:eastAsia="en-GB"/>
              </w:rPr>
            </w:pPr>
          </w:p>
          <w:p w14:paraId="487060EA" w14:textId="4EF0754D" w:rsidR="00C53F1A" w:rsidRPr="00ED2273" w:rsidRDefault="00C53F1A" w:rsidP="00105B8A">
            <w:pPr>
              <w:spacing w:line="247" w:lineRule="auto"/>
              <w:ind w:left="171" w:right="141"/>
              <w:rPr>
                <w:rFonts w:cs="Arial"/>
                <w:szCs w:val="24"/>
                <w:lang w:val="en-US" w:eastAsia="en-GB"/>
              </w:rPr>
            </w:pPr>
          </w:p>
        </w:tc>
      </w:tr>
      <w:tr w:rsidR="008467A3" w:rsidRPr="00ED2273" w14:paraId="10FE6B43" w14:textId="77777777" w:rsidTr="009B7154">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7BF0A" w14:textId="77777777" w:rsidR="009C3709" w:rsidRPr="009B7154" w:rsidRDefault="009C3709" w:rsidP="009C3709">
            <w:pPr>
              <w:rPr>
                <w:rFonts w:cs="Arial"/>
                <w:b/>
              </w:rPr>
            </w:pPr>
            <w:r w:rsidRPr="009B7154">
              <w:rPr>
                <w:rFonts w:cs="Arial"/>
                <w:b/>
              </w:rPr>
              <w:t>Risks if Proposal does go ahead:</w:t>
            </w:r>
          </w:p>
          <w:p w14:paraId="1F58C4F1" w14:textId="77777777" w:rsidR="009C3709" w:rsidRPr="00324F48" w:rsidRDefault="009C3709" w:rsidP="009C3709">
            <w:pPr>
              <w:rPr>
                <w:rFonts w:cs="Arial"/>
                <w:bCs/>
                <w:u w:val="single"/>
              </w:rPr>
            </w:pPr>
          </w:p>
          <w:p w14:paraId="201762B1" w14:textId="7C069688" w:rsidR="008467A3" w:rsidRPr="00ED2273" w:rsidRDefault="009C3709" w:rsidP="009C3709">
            <w:pPr>
              <w:rPr>
                <w:rFonts w:cs="Arial"/>
                <w:b/>
              </w:rPr>
            </w:pPr>
            <w:r>
              <w:rPr>
                <w:rFonts w:cs="Arial"/>
              </w:rPr>
              <w:t>(a) Sourcing s</w:t>
            </w:r>
            <w:r w:rsidRPr="00ED2273">
              <w:rPr>
                <w:rFonts w:cs="Arial"/>
              </w:rPr>
              <w:t xml:space="preserve">uitable community premises </w:t>
            </w:r>
            <w:r>
              <w:rPr>
                <w:rFonts w:cs="Arial"/>
              </w:rPr>
              <w:t xml:space="preserve">for the service is not </w:t>
            </w:r>
            <w:r w:rsidRPr="00ED2273">
              <w:rPr>
                <w:rFonts w:cs="Arial"/>
              </w:rPr>
              <w:t xml:space="preserve">feasible within </w:t>
            </w:r>
            <w:r>
              <w:rPr>
                <w:rFonts w:cs="Arial"/>
              </w:rPr>
              <w:t xml:space="preserve">the </w:t>
            </w:r>
            <w:r w:rsidRPr="00ED2273">
              <w:rPr>
                <w:rFonts w:cs="Arial"/>
              </w:rPr>
              <w:t>procurement timescales</w:t>
            </w:r>
            <w:r>
              <w:rPr>
                <w:rFonts w:cs="Arial"/>
              </w:rPr>
              <w:t xml:space="preserve"> resulting in delay in the delivery substance misuse services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5B50E" w14:textId="7EF9EB0B" w:rsidR="007E7F09" w:rsidRDefault="007E7F09" w:rsidP="007E7F09">
            <w:pPr>
              <w:pStyle w:val="ListParagraph"/>
              <w:numPr>
                <w:ilvl w:val="0"/>
                <w:numId w:val="10"/>
              </w:numPr>
              <w:suppressAutoHyphens/>
              <w:autoSpaceDN w:val="0"/>
              <w:spacing w:line="247" w:lineRule="auto"/>
              <w:ind w:left="306" w:right="141" w:hanging="284"/>
              <w:rPr>
                <w:rFonts w:cs="Arial"/>
                <w:szCs w:val="24"/>
                <w:lang w:val="en-US" w:eastAsia="en-GB"/>
              </w:rPr>
            </w:pPr>
            <w:r>
              <w:rPr>
                <w:rFonts w:cs="Arial"/>
              </w:rPr>
              <w:t>The n</w:t>
            </w:r>
            <w:r w:rsidRPr="00ED2273">
              <w:rPr>
                <w:rFonts w:cs="Arial"/>
              </w:rPr>
              <w:t xml:space="preserve">ew provider </w:t>
            </w:r>
            <w:r>
              <w:rPr>
                <w:rFonts w:cs="Arial"/>
              </w:rPr>
              <w:t xml:space="preserve">will </w:t>
            </w:r>
            <w:r w:rsidRPr="00ED2273">
              <w:rPr>
                <w:rFonts w:cs="Arial"/>
              </w:rPr>
              <w:t>develop</w:t>
            </w:r>
            <w:r>
              <w:rPr>
                <w:rFonts w:cs="Arial"/>
              </w:rPr>
              <w:t xml:space="preserve"> </w:t>
            </w:r>
            <w:r w:rsidRPr="00ED2273">
              <w:rPr>
                <w:rFonts w:cs="Arial"/>
              </w:rPr>
              <w:t xml:space="preserve">their own property strategy to </w:t>
            </w:r>
            <w:r>
              <w:rPr>
                <w:rFonts w:cs="Arial"/>
              </w:rPr>
              <w:t xml:space="preserve">support </w:t>
            </w:r>
            <w:r w:rsidRPr="00ED2273">
              <w:rPr>
                <w:rFonts w:cs="Arial"/>
              </w:rPr>
              <w:t>locat</w:t>
            </w:r>
            <w:r>
              <w:rPr>
                <w:rFonts w:cs="Arial"/>
              </w:rPr>
              <w:t>ing</w:t>
            </w:r>
            <w:r w:rsidRPr="00ED2273">
              <w:rPr>
                <w:rFonts w:cs="Arial"/>
              </w:rPr>
              <w:t xml:space="preserve"> within the </w:t>
            </w:r>
            <w:r>
              <w:rPr>
                <w:rFonts w:cs="Arial"/>
              </w:rPr>
              <w:t xml:space="preserve">Harrow </w:t>
            </w:r>
            <w:r w:rsidRPr="00ED2273">
              <w:rPr>
                <w:rFonts w:cs="Arial"/>
              </w:rPr>
              <w:t>community</w:t>
            </w:r>
            <w:r w:rsidR="00B4332A">
              <w:rPr>
                <w:rFonts w:cs="Arial"/>
              </w:rPr>
              <w:t>.</w:t>
            </w:r>
          </w:p>
          <w:p w14:paraId="2C2FA77D" w14:textId="54BAF3D0" w:rsidR="007E7F09" w:rsidRDefault="007E7F09" w:rsidP="007E7F09">
            <w:pPr>
              <w:pStyle w:val="ListParagraph"/>
              <w:numPr>
                <w:ilvl w:val="0"/>
                <w:numId w:val="10"/>
              </w:numPr>
              <w:suppressAutoHyphens/>
              <w:autoSpaceDN w:val="0"/>
              <w:spacing w:line="247" w:lineRule="auto"/>
              <w:ind w:left="306" w:right="141" w:hanging="284"/>
              <w:rPr>
                <w:rFonts w:cs="Arial"/>
                <w:szCs w:val="24"/>
                <w:lang w:val="en-US" w:eastAsia="en-GB"/>
              </w:rPr>
            </w:pPr>
            <w:r>
              <w:rPr>
                <w:rFonts w:cs="Arial"/>
              </w:rPr>
              <w:t xml:space="preserve">The Council </w:t>
            </w:r>
            <w:r w:rsidRPr="00ED2273">
              <w:rPr>
                <w:rFonts w:cs="Arial"/>
              </w:rPr>
              <w:t xml:space="preserve">will work with </w:t>
            </w:r>
            <w:r>
              <w:rPr>
                <w:rFonts w:cs="Arial"/>
              </w:rPr>
              <w:t xml:space="preserve">both </w:t>
            </w:r>
            <w:r w:rsidRPr="00ED2273">
              <w:rPr>
                <w:rFonts w:cs="Arial"/>
              </w:rPr>
              <w:t xml:space="preserve">the outgoing and incoming </w:t>
            </w:r>
            <w:r>
              <w:rPr>
                <w:rFonts w:cs="Arial"/>
              </w:rPr>
              <w:t>p</w:t>
            </w:r>
            <w:r w:rsidRPr="00ED2273">
              <w:rPr>
                <w:rFonts w:cs="Arial"/>
              </w:rPr>
              <w:t>rovider to ensure that the service is not disrupted</w:t>
            </w:r>
            <w:r w:rsidR="00B4332A">
              <w:rPr>
                <w:rFonts w:cs="Arial"/>
              </w:rPr>
              <w:t>.</w:t>
            </w:r>
          </w:p>
          <w:p w14:paraId="32367581" w14:textId="0BCF21F0" w:rsidR="008467A3" w:rsidRDefault="00463A55" w:rsidP="004D7DEF">
            <w:pPr>
              <w:pStyle w:val="ListParagraph"/>
              <w:numPr>
                <w:ilvl w:val="0"/>
                <w:numId w:val="10"/>
              </w:numPr>
              <w:suppressAutoHyphens/>
              <w:autoSpaceDN w:val="0"/>
              <w:spacing w:line="247" w:lineRule="auto"/>
              <w:ind w:left="306" w:right="141" w:hanging="284"/>
              <w:rPr>
                <w:rFonts w:cs="Arial"/>
                <w:szCs w:val="24"/>
                <w:lang w:val="en-US" w:eastAsia="en-GB"/>
              </w:rPr>
            </w:pPr>
            <w:r>
              <w:rPr>
                <w:rFonts w:cs="Arial"/>
                <w:szCs w:val="24"/>
                <w:lang w:val="en-US" w:eastAsia="en-GB"/>
              </w:rPr>
              <w:t xml:space="preserve">The need for suitable </w:t>
            </w:r>
            <w:r w:rsidR="00A95874">
              <w:rPr>
                <w:rFonts w:cs="Arial"/>
                <w:szCs w:val="24"/>
                <w:lang w:val="en-US" w:eastAsia="en-GB"/>
              </w:rPr>
              <w:t>premises</w:t>
            </w:r>
            <w:r>
              <w:rPr>
                <w:rFonts w:cs="Arial"/>
                <w:szCs w:val="24"/>
                <w:lang w:val="en-US" w:eastAsia="en-GB"/>
              </w:rPr>
              <w:t xml:space="preserve"> will be </w:t>
            </w:r>
            <w:r w:rsidR="006E68CE">
              <w:rPr>
                <w:rFonts w:cs="Arial"/>
                <w:szCs w:val="24"/>
                <w:lang w:val="en-US" w:eastAsia="en-GB"/>
              </w:rPr>
              <w:t>a condition of the</w:t>
            </w:r>
            <w:r w:rsidR="00511ABF">
              <w:rPr>
                <w:rFonts w:cs="Arial"/>
                <w:szCs w:val="24"/>
                <w:lang w:val="en-US" w:eastAsia="en-GB"/>
              </w:rPr>
              <w:t xml:space="preserve"> procurement</w:t>
            </w:r>
            <w:r w:rsidR="00B4332A">
              <w:rPr>
                <w:rFonts w:cs="Arial"/>
                <w:szCs w:val="24"/>
                <w:lang w:val="en-US" w:eastAsia="en-GB"/>
              </w:rPr>
              <w:t>.</w:t>
            </w:r>
          </w:p>
          <w:p w14:paraId="687F7A6A" w14:textId="77777777" w:rsidR="007A1D5B" w:rsidRDefault="007A1D5B" w:rsidP="004D7DEF">
            <w:pPr>
              <w:pStyle w:val="ListParagraph"/>
              <w:numPr>
                <w:ilvl w:val="0"/>
                <w:numId w:val="10"/>
              </w:numPr>
              <w:suppressAutoHyphens/>
              <w:autoSpaceDN w:val="0"/>
              <w:spacing w:line="247" w:lineRule="auto"/>
              <w:ind w:left="306" w:right="141" w:hanging="284"/>
              <w:rPr>
                <w:rFonts w:cs="Arial"/>
                <w:szCs w:val="24"/>
                <w:lang w:val="en-US" w:eastAsia="en-GB"/>
              </w:rPr>
            </w:pPr>
            <w:r>
              <w:rPr>
                <w:rFonts w:cs="Arial"/>
                <w:szCs w:val="24"/>
                <w:lang w:val="en-US" w:eastAsia="en-GB"/>
              </w:rPr>
              <w:t xml:space="preserve">The existing provider to be approached for lease of </w:t>
            </w:r>
            <w:r w:rsidR="006E68CE">
              <w:rPr>
                <w:rFonts w:cs="Arial"/>
                <w:szCs w:val="24"/>
                <w:lang w:val="en-US" w:eastAsia="en-GB"/>
              </w:rPr>
              <w:t>their premises if necessary.</w:t>
            </w:r>
          </w:p>
          <w:p w14:paraId="7D882EA3" w14:textId="77777777" w:rsidR="00847576" w:rsidRPr="00747F59" w:rsidRDefault="00847576" w:rsidP="00847576">
            <w:pPr>
              <w:pStyle w:val="ListParagraph"/>
              <w:numPr>
                <w:ilvl w:val="0"/>
                <w:numId w:val="10"/>
              </w:numPr>
              <w:suppressAutoHyphens/>
              <w:autoSpaceDN w:val="0"/>
              <w:spacing w:line="247" w:lineRule="auto"/>
              <w:ind w:left="306" w:right="141" w:hanging="284"/>
              <w:rPr>
                <w:rFonts w:cs="Arial"/>
                <w:szCs w:val="24"/>
                <w:lang w:val="en-US" w:eastAsia="en-GB"/>
              </w:rPr>
            </w:pPr>
            <w:r w:rsidRPr="00747F59">
              <w:rPr>
                <w:rFonts w:cs="Arial"/>
                <w:color w:val="000000"/>
                <w:szCs w:val="24"/>
              </w:rPr>
              <w:t>Service users/young people to be kept updated via the current Service’s in-house communications and Harrow-wide communications via Safeguarding Children Board communications.</w:t>
            </w:r>
          </w:p>
          <w:p w14:paraId="3C31EC5B" w14:textId="09FDCBC8" w:rsidR="00847576" w:rsidRPr="00847576" w:rsidRDefault="00847576" w:rsidP="00847576">
            <w:pPr>
              <w:suppressAutoHyphens/>
              <w:autoSpaceDN w:val="0"/>
              <w:spacing w:line="247" w:lineRule="auto"/>
              <w:ind w:right="141"/>
              <w:rPr>
                <w:rFonts w:cs="Arial"/>
                <w:szCs w:val="24"/>
                <w:lang w:val="en-US" w:eastAsia="en-GB"/>
              </w:rPr>
            </w:pPr>
          </w:p>
        </w:tc>
        <w:tc>
          <w:tcPr>
            <w:tcW w:w="1694" w:type="dxa"/>
            <w:tcBorders>
              <w:top w:val="single" w:sz="4" w:space="0" w:color="000000"/>
              <w:left w:val="single" w:sz="4" w:space="0" w:color="000000"/>
              <w:bottom w:val="single" w:sz="4" w:space="0" w:color="000000"/>
              <w:right w:val="single" w:sz="4" w:space="0" w:color="000000"/>
            </w:tcBorders>
            <w:shd w:val="clear" w:color="auto" w:fill="FFC000"/>
          </w:tcPr>
          <w:p w14:paraId="6245208B" w14:textId="6BA2932D" w:rsidR="008467A3" w:rsidRPr="00ED2273" w:rsidRDefault="009115AD" w:rsidP="00105B8A">
            <w:pPr>
              <w:spacing w:line="247" w:lineRule="auto"/>
              <w:ind w:left="171" w:right="141"/>
              <w:rPr>
                <w:rFonts w:cs="Arial"/>
                <w:szCs w:val="24"/>
                <w:lang w:val="en-US" w:eastAsia="en-GB"/>
              </w:rPr>
            </w:pPr>
            <w:r>
              <w:rPr>
                <w:rFonts w:cs="Arial"/>
                <w:szCs w:val="24"/>
                <w:lang w:val="en-US" w:eastAsia="en-GB"/>
              </w:rPr>
              <w:t>Amber</w:t>
            </w:r>
          </w:p>
        </w:tc>
      </w:tr>
      <w:tr w:rsidR="009C3709" w:rsidRPr="00ED2273" w14:paraId="0A9F6850" w14:textId="77777777" w:rsidTr="009B7154">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896B3" w14:textId="77777777" w:rsidR="005473C7" w:rsidRPr="009B7154" w:rsidRDefault="005473C7" w:rsidP="005473C7">
            <w:pPr>
              <w:rPr>
                <w:rFonts w:cs="Arial"/>
                <w:b/>
              </w:rPr>
            </w:pPr>
            <w:r w:rsidRPr="009B7154">
              <w:rPr>
                <w:rFonts w:cs="Arial"/>
                <w:b/>
              </w:rPr>
              <w:t>Risks if Proposal does go ahead:</w:t>
            </w:r>
          </w:p>
          <w:p w14:paraId="557A2AB7" w14:textId="77777777" w:rsidR="005473C7" w:rsidRDefault="005473C7" w:rsidP="005473C7">
            <w:pPr>
              <w:rPr>
                <w:rFonts w:cs="Arial"/>
              </w:rPr>
            </w:pPr>
            <w:r>
              <w:rPr>
                <w:rFonts w:cs="Arial"/>
              </w:rPr>
              <w:t xml:space="preserve"> </w:t>
            </w:r>
          </w:p>
          <w:p w14:paraId="0DCF2E84" w14:textId="4AC59894" w:rsidR="009C3709" w:rsidRPr="00324F48" w:rsidRDefault="005473C7" w:rsidP="005473C7">
            <w:pPr>
              <w:rPr>
                <w:rFonts w:cs="Arial"/>
                <w:bCs/>
                <w:u w:val="single"/>
              </w:rPr>
            </w:pPr>
            <w:r>
              <w:rPr>
                <w:rFonts w:cs="Arial"/>
              </w:rPr>
              <w:lastRenderedPageBreak/>
              <w:t>(b) The p</w:t>
            </w:r>
            <w:r w:rsidRPr="00ED2273">
              <w:rPr>
                <w:rFonts w:cs="Arial"/>
              </w:rPr>
              <w:t xml:space="preserve">remises </w:t>
            </w:r>
            <w:r>
              <w:rPr>
                <w:rFonts w:cs="Arial"/>
              </w:rPr>
              <w:t xml:space="preserve">for delivering core services do not comply with </w:t>
            </w:r>
            <w:r w:rsidRPr="00ED2273">
              <w:rPr>
                <w:rFonts w:cs="Arial"/>
              </w:rPr>
              <w:t xml:space="preserve">all </w:t>
            </w:r>
            <w:r>
              <w:rPr>
                <w:rFonts w:cs="Arial"/>
              </w:rPr>
              <w:t xml:space="preserve">relevant </w:t>
            </w:r>
            <w:r w:rsidRPr="00ED2273">
              <w:rPr>
                <w:rFonts w:cs="Arial"/>
              </w:rPr>
              <w:t>legal and planning regulations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D1F04" w14:textId="77777777" w:rsidR="009C3709" w:rsidRPr="00847576" w:rsidRDefault="00B365C5" w:rsidP="00847576">
            <w:pPr>
              <w:pStyle w:val="ListParagraph"/>
              <w:numPr>
                <w:ilvl w:val="0"/>
                <w:numId w:val="13"/>
              </w:numPr>
              <w:suppressAutoHyphens/>
              <w:autoSpaceDN w:val="0"/>
              <w:spacing w:line="247" w:lineRule="auto"/>
              <w:ind w:left="316" w:right="141"/>
              <w:rPr>
                <w:rFonts w:cs="Arial"/>
                <w:szCs w:val="24"/>
                <w:lang w:val="en-US" w:eastAsia="en-GB"/>
              </w:rPr>
            </w:pPr>
            <w:r w:rsidRPr="00847576">
              <w:rPr>
                <w:rFonts w:cs="Arial"/>
                <w:szCs w:val="24"/>
                <w:lang w:val="en-US" w:eastAsia="en-GB"/>
              </w:rPr>
              <w:lastRenderedPageBreak/>
              <w:t xml:space="preserve">A service risk register to support decision-making and prioritize action </w:t>
            </w:r>
            <w:r w:rsidR="007161E1" w:rsidRPr="00847576">
              <w:rPr>
                <w:rFonts w:cs="Arial"/>
                <w:szCs w:val="24"/>
                <w:lang w:val="en-US" w:eastAsia="en-GB"/>
              </w:rPr>
              <w:t>is in</w:t>
            </w:r>
            <w:r w:rsidRPr="00847576">
              <w:rPr>
                <w:rFonts w:cs="Arial"/>
                <w:szCs w:val="24"/>
                <w:lang w:val="en-US" w:eastAsia="en-GB"/>
              </w:rPr>
              <w:t xml:space="preserve"> </w:t>
            </w:r>
            <w:r w:rsidRPr="00847576">
              <w:rPr>
                <w:rFonts w:cs="Arial"/>
                <w:szCs w:val="24"/>
                <w:lang w:val="en-US" w:eastAsia="en-GB"/>
              </w:rPr>
              <w:lastRenderedPageBreak/>
              <w:t>place for the procurement and mobilization of the new service including in relation to procurement timescales</w:t>
            </w:r>
            <w:r w:rsidR="007161E1" w:rsidRPr="00847576">
              <w:rPr>
                <w:rFonts w:cs="Arial"/>
                <w:szCs w:val="24"/>
                <w:lang w:val="en-US" w:eastAsia="en-GB"/>
              </w:rPr>
              <w:t>.</w:t>
            </w:r>
          </w:p>
          <w:p w14:paraId="00DBD4DE" w14:textId="77777777" w:rsidR="00847576" w:rsidRPr="00747F59" w:rsidRDefault="00847576" w:rsidP="00847576">
            <w:pPr>
              <w:pStyle w:val="ListParagraph"/>
              <w:numPr>
                <w:ilvl w:val="0"/>
                <w:numId w:val="10"/>
              </w:numPr>
              <w:suppressAutoHyphens/>
              <w:autoSpaceDN w:val="0"/>
              <w:spacing w:line="247" w:lineRule="auto"/>
              <w:ind w:left="306" w:right="141" w:hanging="284"/>
              <w:rPr>
                <w:rFonts w:cs="Arial"/>
                <w:szCs w:val="24"/>
                <w:lang w:val="en-US" w:eastAsia="en-GB"/>
              </w:rPr>
            </w:pPr>
            <w:r w:rsidRPr="00747F59">
              <w:rPr>
                <w:rFonts w:cs="Arial"/>
                <w:color w:val="000000"/>
                <w:szCs w:val="24"/>
              </w:rPr>
              <w:t>Service users/young people to be kept updated via the current Service’s in-house communications and Harrow-wide communications via Safeguarding Children Board communications.</w:t>
            </w:r>
          </w:p>
          <w:p w14:paraId="60383DB7" w14:textId="3F2A9FB1" w:rsidR="00847576" w:rsidRPr="00ED2273" w:rsidRDefault="00847576" w:rsidP="004F21F6">
            <w:pPr>
              <w:suppressAutoHyphens/>
              <w:autoSpaceDN w:val="0"/>
              <w:spacing w:line="247" w:lineRule="auto"/>
              <w:ind w:right="141"/>
              <w:rPr>
                <w:rFonts w:cs="Arial"/>
                <w:szCs w:val="24"/>
                <w:lang w:val="en-US" w:eastAsia="en-GB"/>
              </w:rPr>
            </w:pPr>
          </w:p>
        </w:tc>
        <w:tc>
          <w:tcPr>
            <w:tcW w:w="169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8A4856C" w14:textId="49FE1F80" w:rsidR="009C3709" w:rsidRPr="00ED2273" w:rsidRDefault="00F35533" w:rsidP="00105B8A">
            <w:pPr>
              <w:spacing w:line="247" w:lineRule="auto"/>
              <w:ind w:left="171" w:right="141"/>
              <w:rPr>
                <w:rFonts w:cs="Arial"/>
                <w:szCs w:val="24"/>
                <w:lang w:val="en-US" w:eastAsia="en-GB"/>
              </w:rPr>
            </w:pPr>
            <w:r>
              <w:rPr>
                <w:rFonts w:cs="Arial"/>
                <w:szCs w:val="24"/>
                <w:lang w:val="en-US" w:eastAsia="en-GB"/>
              </w:rPr>
              <w:lastRenderedPageBreak/>
              <w:t>Green</w:t>
            </w:r>
          </w:p>
        </w:tc>
      </w:tr>
    </w:tbl>
    <w:p w14:paraId="0249BBDB" w14:textId="5F16DA3E" w:rsidR="002A3FEF" w:rsidRPr="00ED2273" w:rsidRDefault="002A3FEF" w:rsidP="00A1211C">
      <w:pPr>
        <w:pStyle w:val="Heading3"/>
        <w:spacing w:before="480" w:after="240"/>
      </w:pPr>
      <w:r w:rsidRPr="00ED2273">
        <w:t>Procurement Implications</w:t>
      </w:r>
    </w:p>
    <w:p w14:paraId="15B0EC6B" w14:textId="20504807" w:rsidR="005F156C" w:rsidRPr="00ED2273" w:rsidRDefault="005F156C" w:rsidP="005F156C">
      <w:pPr>
        <w:rPr>
          <w:rFonts w:cs="Arial"/>
        </w:rPr>
      </w:pPr>
      <w:r w:rsidRPr="00ED2273">
        <w:rPr>
          <w:rFonts w:cs="Arial"/>
        </w:rPr>
        <w:t>It is intended that the C</w:t>
      </w:r>
      <w:r w:rsidR="001B58C7" w:rsidRPr="00ED2273">
        <w:rPr>
          <w:rFonts w:cs="Arial"/>
        </w:rPr>
        <w:t>o</w:t>
      </w:r>
      <w:r w:rsidR="003A2A23" w:rsidRPr="00ED2273">
        <w:rPr>
          <w:rFonts w:cs="Arial"/>
        </w:rPr>
        <w:t>uncil</w:t>
      </w:r>
      <w:r w:rsidRPr="00ED2273">
        <w:rPr>
          <w:rFonts w:cs="Arial"/>
        </w:rPr>
        <w:t xml:space="preserve"> will follow an OPEN Procedure; the contract term will be for three years.</w:t>
      </w:r>
    </w:p>
    <w:p w14:paraId="1A14C4BA" w14:textId="29CBE2EC" w:rsidR="005F156C" w:rsidRPr="00ED2273" w:rsidRDefault="005F156C" w:rsidP="005F156C">
      <w:pPr>
        <w:rPr>
          <w:rFonts w:cs="Arial"/>
        </w:rPr>
      </w:pPr>
    </w:p>
    <w:p w14:paraId="0DCD38ED" w14:textId="2D777231" w:rsidR="005F156C" w:rsidRPr="00ED2273" w:rsidRDefault="005F156C" w:rsidP="005F156C">
      <w:pPr>
        <w:rPr>
          <w:rFonts w:cs="Arial"/>
        </w:rPr>
      </w:pPr>
      <w:r w:rsidRPr="00ED2273">
        <w:rPr>
          <w:rFonts w:cs="Arial"/>
        </w:rPr>
        <w:t xml:space="preserve">The proposed </w:t>
      </w:r>
      <w:r w:rsidR="00675CB0" w:rsidRPr="00ED2273">
        <w:rPr>
          <w:rFonts w:cs="Arial"/>
        </w:rPr>
        <w:t>top-level</w:t>
      </w:r>
      <w:r w:rsidRPr="00ED2273">
        <w:rPr>
          <w:rFonts w:cs="Arial"/>
        </w:rPr>
        <w:t xml:space="preserve"> evaluation criteria will be:</w:t>
      </w:r>
    </w:p>
    <w:p w14:paraId="1C226A6F" w14:textId="0C3CEBE7" w:rsidR="005F156C" w:rsidRPr="00ED2273" w:rsidRDefault="005F156C" w:rsidP="005F156C">
      <w:pPr>
        <w:rPr>
          <w:rFonts w:cs="Arial"/>
        </w:rPr>
      </w:pPr>
      <w:r w:rsidRPr="00ED2273">
        <w:rPr>
          <w:rFonts w:cs="Arial"/>
        </w:rPr>
        <w:t>Price</w:t>
      </w:r>
      <w:r w:rsidRPr="00ED2273">
        <w:rPr>
          <w:rFonts w:cs="Arial"/>
        </w:rPr>
        <w:tab/>
      </w:r>
      <w:r w:rsidRPr="00ED2273">
        <w:rPr>
          <w:rFonts w:cs="Arial"/>
        </w:rPr>
        <w:tab/>
        <w:t>40%</w:t>
      </w:r>
    </w:p>
    <w:p w14:paraId="1832C3E1" w14:textId="4F7BBFB3" w:rsidR="005F156C" w:rsidRPr="00ED2273" w:rsidRDefault="005F156C" w:rsidP="005F156C">
      <w:pPr>
        <w:rPr>
          <w:rFonts w:cs="Arial"/>
        </w:rPr>
      </w:pPr>
      <w:r w:rsidRPr="00ED2273">
        <w:rPr>
          <w:rFonts w:cs="Arial"/>
        </w:rPr>
        <w:t>Quality</w:t>
      </w:r>
      <w:r w:rsidRPr="00ED2273">
        <w:rPr>
          <w:rFonts w:cs="Arial"/>
        </w:rPr>
        <w:tab/>
        <w:t>50%</w:t>
      </w:r>
    </w:p>
    <w:p w14:paraId="597614F6" w14:textId="256B8E94" w:rsidR="005F156C" w:rsidRPr="00ED2273" w:rsidRDefault="005F156C" w:rsidP="005F156C">
      <w:pPr>
        <w:rPr>
          <w:rFonts w:cs="Arial"/>
        </w:rPr>
      </w:pPr>
      <w:r w:rsidRPr="00ED2273">
        <w:rPr>
          <w:rFonts w:cs="Arial"/>
        </w:rPr>
        <w:t>Social Value</w:t>
      </w:r>
      <w:r w:rsidRPr="00ED2273">
        <w:rPr>
          <w:rFonts w:cs="Arial"/>
        </w:rPr>
        <w:tab/>
        <w:t>10%</w:t>
      </w:r>
    </w:p>
    <w:p w14:paraId="2A499D3B" w14:textId="6521B5A0" w:rsidR="005F156C" w:rsidRPr="00ED2273" w:rsidRDefault="005F156C" w:rsidP="005F156C">
      <w:pPr>
        <w:rPr>
          <w:rFonts w:cs="Arial"/>
        </w:rPr>
      </w:pPr>
    </w:p>
    <w:p w14:paraId="44413A6E" w14:textId="35C72751" w:rsidR="00333FAA" w:rsidRPr="00ED2273" w:rsidRDefault="003A2A23" w:rsidP="003A2A23">
      <w:pPr>
        <w:rPr>
          <w:rFonts w:cs="Arial"/>
          <w:b/>
          <w:bCs/>
          <w:sz w:val="28"/>
          <w:szCs w:val="28"/>
        </w:rPr>
      </w:pPr>
      <w:r w:rsidRPr="00ED2273">
        <w:rPr>
          <w:rFonts w:cs="Arial"/>
          <w:b/>
          <w:bCs/>
          <w:sz w:val="28"/>
          <w:szCs w:val="28"/>
        </w:rPr>
        <w:t>L</w:t>
      </w:r>
      <w:r w:rsidR="00333FAA" w:rsidRPr="00ED2273">
        <w:rPr>
          <w:rFonts w:cs="Arial"/>
          <w:b/>
          <w:bCs/>
          <w:sz w:val="28"/>
          <w:szCs w:val="28"/>
        </w:rPr>
        <w:t>egal Implications</w:t>
      </w:r>
    </w:p>
    <w:p w14:paraId="43720BF0" w14:textId="77777777" w:rsidR="003A2A23" w:rsidRPr="00ED2273" w:rsidRDefault="003A2A23" w:rsidP="003A2A23">
      <w:pPr>
        <w:rPr>
          <w:rFonts w:cs="Arial"/>
          <w:b/>
          <w:bCs/>
          <w:sz w:val="28"/>
          <w:szCs w:val="28"/>
        </w:rPr>
      </w:pPr>
    </w:p>
    <w:p w14:paraId="57681363" w14:textId="0562D00E" w:rsidR="005F156C" w:rsidRPr="00ED2273" w:rsidRDefault="005F156C" w:rsidP="005F15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567"/>
        <w:jc w:val="both"/>
        <w:rPr>
          <w:rFonts w:cs="Arial"/>
          <w:szCs w:val="24"/>
        </w:rPr>
      </w:pPr>
      <w:r w:rsidRPr="00ED2273">
        <w:rPr>
          <w:rFonts w:cs="Arial"/>
          <w:szCs w:val="24"/>
        </w:rPr>
        <w:tab/>
        <w:t xml:space="preserve">The Health and Social Care Act 2012 (“the Act”) introduced changes by way of a series of amendments to the National Health Service Act 2006. The Act gives local authorities a duty to take such steps as it considers appropriate to improve the health of the people in its area. In general terms, the Act confers on local authorities the function of improving public health and gives local authorities considerable scope to determine what actions it will take in pursuit of that general function. </w:t>
      </w:r>
    </w:p>
    <w:p w14:paraId="4EBC9D52" w14:textId="77777777" w:rsidR="005F156C" w:rsidRPr="00ED2273" w:rsidRDefault="005F156C" w:rsidP="005F156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92"/>
        <w:contextualSpacing/>
        <w:rPr>
          <w:rFonts w:cs="Arial"/>
          <w:szCs w:val="24"/>
        </w:rPr>
      </w:pPr>
    </w:p>
    <w:p w14:paraId="34EC4342" w14:textId="7E215C16" w:rsidR="005F156C" w:rsidRPr="00ED2273" w:rsidRDefault="005F156C" w:rsidP="005F156C">
      <w:pPr>
        <w:ind w:hanging="567"/>
        <w:jc w:val="both"/>
        <w:rPr>
          <w:rFonts w:cs="Arial"/>
          <w:szCs w:val="24"/>
        </w:rPr>
      </w:pPr>
      <w:r w:rsidRPr="00ED2273">
        <w:rPr>
          <w:rFonts w:cs="Arial"/>
          <w:szCs w:val="24"/>
        </w:rPr>
        <w:tab/>
        <w:t>The Harrow Young People’s Substance Misuse Service Contract has a value in excess of the relevant threshold under The Public Contract Regulations 2015 in relation to contracts for services of this nature</w:t>
      </w:r>
      <w:r w:rsidR="00233E9B">
        <w:rPr>
          <w:rFonts w:cs="Arial"/>
          <w:szCs w:val="24"/>
        </w:rPr>
        <w:t>,</w:t>
      </w:r>
      <w:r w:rsidRPr="00ED2273">
        <w:rPr>
          <w:rFonts w:cs="Arial"/>
          <w:szCs w:val="24"/>
        </w:rPr>
        <w:t xml:space="preserve"> so such services need to be competitively tendered under these Regulations.  </w:t>
      </w:r>
    </w:p>
    <w:p w14:paraId="66DD071A" w14:textId="77777777" w:rsidR="005F156C" w:rsidRPr="00ED2273" w:rsidRDefault="005F156C" w:rsidP="005F156C">
      <w:pPr>
        <w:ind w:hanging="567"/>
        <w:jc w:val="both"/>
        <w:rPr>
          <w:rFonts w:cs="Arial"/>
          <w:szCs w:val="24"/>
        </w:rPr>
      </w:pPr>
    </w:p>
    <w:p w14:paraId="48665F44" w14:textId="685073A0" w:rsidR="005F156C" w:rsidRPr="00ED2273" w:rsidRDefault="005F156C" w:rsidP="005F156C">
      <w:pPr>
        <w:ind w:hanging="567"/>
        <w:jc w:val="both"/>
        <w:rPr>
          <w:rFonts w:cs="Arial"/>
          <w:szCs w:val="24"/>
        </w:rPr>
      </w:pPr>
      <w:r w:rsidRPr="00ED2273">
        <w:rPr>
          <w:rFonts w:cs="Arial"/>
          <w:szCs w:val="24"/>
        </w:rPr>
        <w:tab/>
        <w:t xml:space="preserve">The Contract value of the Harrow Young People’s Substance Misuse is over £500k so Cabinet approval is required under the Council’s Financial Regulations. A competitive tendering exercise will be carried out in accordance with the CPRs and Legal note that that the Council will be undertaking an Open procedure. A market engagement event will take place prior to the tender being issued, with a bidders’ day currently being scheduled to take place. </w:t>
      </w:r>
    </w:p>
    <w:p w14:paraId="11F2AC04" w14:textId="77777777" w:rsidR="00333FAA" w:rsidRPr="00ED2273" w:rsidRDefault="00333FAA" w:rsidP="00A1211C">
      <w:pPr>
        <w:pStyle w:val="Heading3"/>
        <w:spacing w:before="480" w:after="240"/>
        <w:rPr>
          <w:color w:val="FF0000"/>
        </w:rPr>
      </w:pPr>
      <w:r w:rsidRPr="00ED2273">
        <w:lastRenderedPageBreak/>
        <w:t>Financial Implications</w:t>
      </w:r>
    </w:p>
    <w:p w14:paraId="41056827" w14:textId="3E898C11" w:rsidR="005F156C" w:rsidRPr="00ED2273" w:rsidRDefault="005F156C" w:rsidP="005F156C">
      <w:pPr>
        <w:jc w:val="both"/>
        <w:rPr>
          <w:rFonts w:cs="Arial"/>
          <w:szCs w:val="24"/>
        </w:rPr>
      </w:pPr>
      <w:r w:rsidRPr="00ED2273">
        <w:rPr>
          <w:rFonts w:cs="Arial"/>
          <w:szCs w:val="24"/>
        </w:rPr>
        <w:t>Public Health allocation of grant for Harrow for 2021/</w:t>
      </w:r>
      <w:r w:rsidRPr="00A34EB5">
        <w:rPr>
          <w:rFonts w:cs="Arial"/>
          <w:szCs w:val="24"/>
        </w:rPr>
        <w:t>22 is £</w:t>
      </w:r>
      <w:r w:rsidR="00A34EB5" w:rsidRPr="00A34EB5">
        <w:rPr>
          <w:rFonts w:cs="Arial"/>
          <w:szCs w:val="24"/>
        </w:rPr>
        <w:t>11,309,632</w:t>
      </w:r>
      <w:r w:rsidR="00465E86">
        <w:rPr>
          <w:rFonts w:cs="Arial"/>
          <w:szCs w:val="24"/>
        </w:rPr>
        <w:t xml:space="preserve"> and funds the annual value of the current contract of £218.5k, in addition to the costs of the case management system of £15.5k</w:t>
      </w:r>
      <w:r w:rsidRPr="00A34EB5">
        <w:rPr>
          <w:rFonts w:cs="Arial"/>
          <w:szCs w:val="24"/>
        </w:rPr>
        <w:t>.</w:t>
      </w:r>
    </w:p>
    <w:p w14:paraId="07797E48" w14:textId="77777777" w:rsidR="005F156C" w:rsidRPr="00ED2273" w:rsidRDefault="005F156C" w:rsidP="005F156C">
      <w:pPr>
        <w:jc w:val="both"/>
        <w:rPr>
          <w:rFonts w:cs="Arial"/>
          <w:szCs w:val="24"/>
        </w:rPr>
      </w:pPr>
    </w:p>
    <w:p w14:paraId="46820932" w14:textId="51D9D3FF" w:rsidR="005F156C" w:rsidRDefault="005F156C" w:rsidP="00553C30">
      <w:pPr>
        <w:jc w:val="both"/>
        <w:rPr>
          <w:rFonts w:cs="Arial"/>
        </w:rPr>
      </w:pPr>
      <w:r w:rsidRPr="00ED2273">
        <w:rPr>
          <w:rFonts w:cs="Arial"/>
        </w:rPr>
        <w:t xml:space="preserve">The re-procurement of the Service will require the Case Management System to be incorporated within the new contract and the expectation is for any award of contract to be made within this cash envelope.  </w:t>
      </w:r>
    </w:p>
    <w:p w14:paraId="69CF48DD" w14:textId="77777777" w:rsidR="00465E86" w:rsidRPr="00ED2273" w:rsidRDefault="00465E86" w:rsidP="00563D4C">
      <w:pPr>
        <w:ind w:hanging="567"/>
        <w:jc w:val="both"/>
        <w:rPr>
          <w:rFonts w:cs="Arial"/>
        </w:rPr>
      </w:pPr>
    </w:p>
    <w:p w14:paraId="05A7AC5F" w14:textId="1D24FB77" w:rsidR="005F156C" w:rsidRPr="00ED2273" w:rsidRDefault="00465E86" w:rsidP="005F156C">
      <w:pPr>
        <w:jc w:val="both"/>
        <w:rPr>
          <w:rFonts w:cs="Arial"/>
          <w:szCs w:val="24"/>
        </w:rPr>
      </w:pPr>
      <w:r>
        <w:rPr>
          <w:rFonts w:cs="Arial"/>
          <w:szCs w:val="24"/>
        </w:rPr>
        <w:t>The re</w:t>
      </w:r>
      <w:r w:rsidR="00847576">
        <w:rPr>
          <w:rFonts w:cs="Arial"/>
          <w:szCs w:val="24"/>
        </w:rPr>
        <w:t>-</w:t>
      </w:r>
      <w:r>
        <w:rPr>
          <w:rFonts w:cs="Arial"/>
          <w:szCs w:val="24"/>
        </w:rPr>
        <w:t xml:space="preserve">procurement exercise will determine the amount of grant funding required to fund these services, however any </w:t>
      </w:r>
      <w:r w:rsidRPr="00ED2273">
        <w:rPr>
          <w:rFonts w:cs="Arial"/>
        </w:rPr>
        <w:t>changes in</w:t>
      </w:r>
      <w:r>
        <w:rPr>
          <w:rFonts w:cs="Arial"/>
        </w:rPr>
        <w:t xml:space="preserve"> </w:t>
      </w:r>
      <w:r w:rsidRPr="00ED2273">
        <w:rPr>
          <w:rFonts w:cs="Arial"/>
        </w:rPr>
        <w:t>expenditure</w:t>
      </w:r>
      <w:r>
        <w:rPr>
          <w:rFonts w:cs="Arial"/>
        </w:rPr>
        <w:t xml:space="preserve"> </w:t>
      </w:r>
      <w:r w:rsidRPr="00ED2273">
        <w:rPr>
          <w:rFonts w:cs="Arial"/>
        </w:rPr>
        <w:t>will need to be contained within the annual grant a</w:t>
      </w:r>
      <w:r>
        <w:rPr>
          <w:rFonts w:cs="Arial"/>
        </w:rPr>
        <w:t>llocation</w:t>
      </w:r>
      <w:r w:rsidRPr="00ED2273">
        <w:rPr>
          <w:rFonts w:cs="Arial"/>
        </w:rPr>
        <w:t>.</w:t>
      </w:r>
    </w:p>
    <w:p w14:paraId="7FECD38A" w14:textId="22581088" w:rsidR="005F156C" w:rsidRPr="00ED2273" w:rsidRDefault="005F156C" w:rsidP="00553C30">
      <w:pPr>
        <w:ind w:hanging="567"/>
        <w:jc w:val="both"/>
        <w:rPr>
          <w:rFonts w:cs="Arial"/>
        </w:rPr>
      </w:pPr>
      <w:r w:rsidRPr="00ED2273">
        <w:rPr>
          <w:rFonts w:cs="Arial"/>
          <w:szCs w:val="24"/>
        </w:rPr>
        <w:tab/>
      </w:r>
    </w:p>
    <w:p w14:paraId="3B7C4A9F" w14:textId="1249368C" w:rsidR="005F156C" w:rsidRPr="00A34EB5" w:rsidRDefault="005F156C" w:rsidP="005F156C">
      <w:pPr>
        <w:pStyle w:val="ParagraphNumbering"/>
        <w:keepNext w:val="0"/>
        <w:numPr>
          <w:ilvl w:val="0"/>
          <w:numId w:val="0"/>
        </w:numPr>
        <w:tabs>
          <w:tab w:val="left" w:pos="720"/>
        </w:tabs>
        <w:spacing w:before="0" w:after="0"/>
        <w:jc w:val="both"/>
      </w:pPr>
      <w:r w:rsidRPr="00A34EB5">
        <w:rPr>
          <w:sz w:val="24"/>
          <w:szCs w:val="24"/>
        </w:rPr>
        <w:t>The Public Health grant is currently ring-fenced until March 202</w:t>
      </w:r>
      <w:r w:rsidR="00A34EB5" w:rsidRPr="00A34EB5">
        <w:rPr>
          <w:sz w:val="24"/>
          <w:szCs w:val="24"/>
        </w:rPr>
        <w:t>2</w:t>
      </w:r>
      <w:r w:rsidRPr="00A34EB5">
        <w:rPr>
          <w:sz w:val="24"/>
          <w:szCs w:val="24"/>
        </w:rPr>
        <w:t xml:space="preserve">.  It is not clear what impact, </w:t>
      </w:r>
      <w:r w:rsidR="00A34EB5" w:rsidRPr="00A34EB5">
        <w:rPr>
          <w:sz w:val="24"/>
          <w:szCs w:val="24"/>
        </w:rPr>
        <w:t>any ch</w:t>
      </w:r>
      <w:r w:rsidRPr="00A34EB5">
        <w:rPr>
          <w:sz w:val="24"/>
          <w:szCs w:val="24"/>
        </w:rPr>
        <w:t xml:space="preserve">anges to the </w:t>
      </w:r>
      <w:r w:rsidR="00A34EB5" w:rsidRPr="00A34EB5">
        <w:rPr>
          <w:sz w:val="24"/>
          <w:szCs w:val="24"/>
        </w:rPr>
        <w:t xml:space="preserve">grant </w:t>
      </w:r>
      <w:r w:rsidRPr="00A34EB5">
        <w:rPr>
          <w:sz w:val="24"/>
          <w:szCs w:val="24"/>
        </w:rPr>
        <w:t xml:space="preserve">fund will have on the level of available resource, however whilst these services are not statutory, they meet Public Health outcomes and will need to be provided.  </w:t>
      </w:r>
    </w:p>
    <w:p w14:paraId="2A478869" w14:textId="77777777" w:rsidR="005F156C" w:rsidRPr="00A34EB5" w:rsidRDefault="005F156C" w:rsidP="005F156C">
      <w:pPr>
        <w:pStyle w:val="ParagraphNumbering"/>
        <w:keepNext w:val="0"/>
        <w:numPr>
          <w:ilvl w:val="0"/>
          <w:numId w:val="0"/>
        </w:numPr>
        <w:tabs>
          <w:tab w:val="left" w:pos="720"/>
        </w:tabs>
        <w:spacing w:before="0" w:after="0"/>
        <w:jc w:val="both"/>
      </w:pPr>
    </w:p>
    <w:p w14:paraId="1548E509" w14:textId="77777777" w:rsidR="005F156C" w:rsidRPr="00ED2273" w:rsidRDefault="005F156C" w:rsidP="005F156C">
      <w:pPr>
        <w:pStyle w:val="ParagraphNumbering"/>
        <w:keepNext w:val="0"/>
        <w:numPr>
          <w:ilvl w:val="0"/>
          <w:numId w:val="0"/>
        </w:numPr>
        <w:tabs>
          <w:tab w:val="left" w:pos="720"/>
        </w:tabs>
        <w:spacing w:before="0" w:after="0"/>
        <w:jc w:val="both"/>
      </w:pPr>
      <w:r w:rsidRPr="00A34EB5">
        <w:rPr>
          <w:sz w:val="24"/>
          <w:szCs w:val="24"/>
        </w:rPr>
        <w:t>The eventual award of contract for these services will result in contractual obligations with the provider for services which are funded by external grant which cannot be guaranteed in the longer term.</w:t>
      </w:r>
      <w:r w:rsidRPr="00ED2273">
        <w:rPr>
          <w:sz w:val="24"/>
          <w:szCs w:val="24"/>
        </w:rPr>
        <w:t xml:space="preserve"> </w:t>
      </w:r>
    </w:p>
    <w:p w14:paraId="41D80CF8" w14:textId="77777777" w:rsidR="00333FAA" w:rsidRPr="00ED2273" w:rsidRDefault="00333FAA" w:rsidP="00A1211C">
      <w:pPr>
        <w:pStyle w:val="Heading3"/>
        <w:spacing w:before="480" w:after="240"/>
        <w:rPr>
          <w:color w:val="FF0000"/>
        </w:rPr>
      </w:pPr>
      <w:r w:rsidRPr="00ED2273">
        <w:t>Equalities implications</w:t>
      </w:r>
      <w:r w:rsidR="001C7E35" w:rsidRPr="00ED2273">
        <w:t xml:space="preserve"> </w:t>
      </w:r>
      <w:r w:rsidRPr="00ED2273">
        <w:t>/</w:t>
      </w:r>
      <w:r w:rsidR="001C7E35" w:rsidRPr="00ED2273">
        <w:t xml:space="preserve"> </w:t>
      </w:r>
      <w:r w:rsidRPr="00ED2273">
        <w:t>Public Sector Equality Duty</w:t>
      </w:r>
    </w:p>
    <w:p w14:paraId="680F4630" w14:textId="6E597E55" w:rsidR="005F156C" w:rsidRPr="00ED2273" w:rsidRDefault="005F156C" w:rsidP="000929A6">
      <w:pPr>
        <w:rPr>
          <w:rFonts w:cs="Arial"/>
          <w:szCs w:val="24"/>
        </w:rPr>
      </w:pPr>
      <w:r w:rsidRPr="00ED2273">
        <w:rPr>
          <w:rStyle w:val="Hyperlink"/>
          <w:rFonts w:cs="Arial"/>
          <w:color w:val="auto"/>
          <w:szCs w:val="24"/>
          <w:u w:val="none"/>
        </w:rPr>
        <w:t>Please see attache</w:t>
      </w:r>
      <w:r w:rsidRPr="00ED2273">
        <w:rPr>
          <w:rFonts w:cs="Arial"/>
          <w:szCs w:val="24"/>
        </w:rPr>
        <w:t>d Equalit</w:t>
      </w:r>
      <w:r w:rsidR="00A048EA" w:rsidRPr="00ED2273">
        <w:rPr>
          <w:rFonts w:cs="Arial"/>
          <w:szCs w:val="24"/>
        </w:rPr>
        <w:t>ies</w:t>
      </w:r>
      <w:r w:rsidRPr="00ED2273">
        <w:rPr>
          <w:rFonts w:cs="Arial"/>
          <w:szCs w:val="24"/>
        </w:rPr>
        <w:t xml:space="preserve"> Impact Assessment </w:t>
      </w:r>
    </w:p>
    <w:p w14:paraId="0E9ED8C5" w14:textId="0A3853E7" w:rsidR="00333FAA" w:rsidRPr="00ED2273" w:rsidRDefault="00333FAA" w:rsidP="00A1211C">
      <w:pPr>
        <w:pStyle w:val="Heading3"/>
        <w:spacing w:before="480" w:after="240"/>
      </w:pPr>
      <w:r w:rsidRPr="00ED2273">
        <w:t>Council Priorities</w:t>
      </w:r>
    </w:p>
    <w:p w14:paraId="457571BC" w14:textId="5EAA18D6" w:rsidR="006551DD" w:rsidRPr="00ED2273" w:rsidRDefault="006551DD" w:rsidP="006551DD">
      <w:pPr>
        <w:jc w:val="both"/>
        <w:rPr>
          <w:rFonts w:cs="Arial"/>
          <w:szCs w:val="24"/>
          <w:lang w:val="en-US"/>
        </w:rPr>
      </w:pPr>
      <w:r w:rsidRPr="00ED2273">
        <w:rPr>
          <w:rFonts w:cs="Arial"/>
          <w:szCs w:val="24"/>
          <w:lang w:val="en-US"/>
        </w:rPr>
        <w:t>Through its clinical treatment, psychosocial recovery pathway and working within the wider multi-disciplinary health and social care, Harrow Young People’s Substance Misuse Service directly links to the Council priorities.</w:t>
      </w:r>
    </w:p>
    <w:p w14:paraId="45990F51" w14:textId="77777777" w:rsidR="006551DD" w:rsidRPr="00ED2273" w:rsidRDefault="006551DD" w:rsidP="006551DD">
      <w:pPr>
        <w:jc w:val="both"/>
        <w:rPr>
          <w:rFonts w:cs="Arial"/>
          <w:szCs w:val="24"/>
          <w:lang w:val="en-US"/>
        </w:rPr>
      </w:pPr>
    </w:p>
    <w:p w14:paraId="1BED5DFC" w14:textId="77777777" w:rsidR="006551DD" w:rsidRPr="00ED2273" w:rsidRDefault="006551DD" w:rsidP="006551DD">
      <w:pPr>
        <w:jc w:val="both"/>
        <w:rPr>
          <w:rFonts w:cs="Arial"/>
        </w:rPr>
      </w:pPr>
      <w:r w:rsidRPr="00ED2273">
        <w:rPr>
          <w:rFonts w:cs="Arial"/>
        </w:rPr>
        <w:t>The Service will contribute to ensuring the health and wellbeing of local residents and those vulnerable residents have access to the information, support, diagnosis and treatment they require to achieve optimum health.  The service user’s engagement in these services also has a positive impact on the family and the wider community.</w:t>
      </w:r>
    </w:p>
    <w:p w14:paraId="7C3B51ED" w14:textId="77777777" w:rsidR="006551DD" w:rsidRPr="00ED2273" w:rsidRDefault="006551DD" w:rsidP="006551DD">
      <w:pPr>
        <w:jc w:val="both"/>
        <w:rPr>
          <w:rFonts w:cs="Arial"/>
        </w:rPr>
      </w:pPr>
    </w:p>
    <w:p w14:paraId="0AC2F8F2" w14:textId="77777777" w:rsidR="006551DD" w:rsidRPr="00ED2273" w:rsidRDefault="006551DD" w:rsidP="00DB39E0">
      <w:pPr>
        <w:numPr>
          <w:ilvl w:val="0"/>
          <w:numId w:val="8"/>
        </w:numPr>
        <w:jc w:val="both"/>
        <w:rPr>
          <w:rFonts w:cs="Arial"/>
        </w:rPr>
      </w:pPr>
      <w:r w:rsidRPr="00ED2273">
        <w:rPr>
          <w:rFonts w:cs="Arial"/>
          <w:lang w:val="en"/>
        </w:rPr>
        <w:t>Making a difference for the vulnerable</w:t>
      </w:r>
    </w:p>
    <w:p w14:paraId="74D51B86" w14:textId="77777777" w:rsidR="006551DD" w:rsidRPr="00ED2273" w:rsidRDefault="006551DD" w:rsidP="00DB39E0">
      <w:pPr>
        <w:numPr>
          <w:ilvl w:val="0"/>
          <w:numId w:val="8"/>
        </w:numPr>
        <w:jc w:val="both"/>
        <w:rPr>
          <w:rFonts w:cs="Arial"/>
        </w:rPr>
      </w:pPr>
      <w:r w:rsidRPr="00ED2273">
        <w:rPr>
          <w:rFonts w:cs="Arial"/>
        </w:rPr>
        <w:t>Making a difference for communities</w:t>
      </w:r>
    </w:p>
    <w:p w14:paraId="2E8DEC0D" w14:textId="77777777" w:rsidR="006551DD" w:rsidRPr="00ED2273" w:rsidRDefault="006551DD" w:rsidP="00DB39E0">
      <w:pPr>
        <w:numPr>
          <w:ilvl w:val="0"/>
          <w:numId w:val="8"/>
        </w:numPr>
        <w:jc w:val="both"/>
        <w:rPr>
          <w:rFonts w:cs="Arial"/>
        </w:rPr>
      </w:pPr>
      <w:r w:rsidRPr="00ED2273">
        <w:rPr>
          <w:rFonts w:cs="Arial"/>
        </w:rPr>
        <w:t>Making a difference for local businesses</w:t>
      </w:r>
    </w:p>
    <w:p w14:paraId="15A578AE" w14:textId="77777777" w:rsidR="006551DD" w:rsidRPr="00ED2273" w:rsidRDefault="006551DD" w:rsidP="00DB39E0">
      <w:pPr>
        <w:numPr>
          <w:ilvl w:val="0"/>
          <w:numId w:val="8"/>
        </w:numPr>
        <w:jc w:val="both"/>
        <w:rPr>
          <w:rFonts w:cs="Arial"/>
        </w:rPr>
      </w:pPr>
      <w:r w:rsidRPr="00ED2273">
        <w:rPr>
          <w:rFonts w:cs="Arial"/>
        </w:rPr>
        <w:t>Making a difference for families</w:t>
      </w:r>
    </w:p>
    <w:p w14:paraId="08136968" w14:textId="77777777" w:rsidR="006551DD" w:rsidRPr="00ED2273" w:rsidRDefault="006551DD" w:rsidP="006551DD">
      <w:pPr>
        <w:jc w:val="both"/>
        <w:rPr>
          <w:rFonts w:cs="Arial"/>
        </w:rPr>
      </w:pPr>
    </w:p>
    <w:p w14:paraId="6BBF651D" w14:textId="611866BA" w:rsidR="006551DD" w:rsidRPr="00ED2273" w:rsidRDefault="006551DD" w:rsidP="006551DD">
      <w:pPr>
        <w:jc w:val="both"/>
        <w:rPr>
          <w:rFonts w:cs="Arial"/>
        </w:rPr>
      </w:pPr>
      <w:r w:rsidRPr="00ED2273">
        <w:rPr>
          <w:rFonts w:cs="Arial"/>
        </w:rPr>
        <w:t>For example</w:t>
      </w:r>
      <w:r w:rsidR="00EB6E27">
        <w:rPr>
          <w:rFonts w:cs="Arial"/>
        </w:rPr>
        <w:t>,</w:t>
      </w:r>
      <w:r w:rsidRPr="00ED2273">
        <w:rPr>
          <w:rFonts w:cs="Arial"/>
        </w:rPr>
        <w:t xml:space="preserve"> drug and alcohol dependency goes hand in hand with poor health, homelessness, family breakdown and offending - all of which are associated with significant burden to public services and ultimately the </w:t>
      </w:r>
      <w:r w:rsidR="00675CB0" w:rsidRPr="00ED2273">
        <w:rPr>
          <w:rFonts w:cs="Arial"/>
        </w:rPr>
        <w:t>taxpayer</w:t>
      </w:r>
      <w:r w:rsidRPr="00ED2273">
        <w:rPr>
          <w:rFonts w:cs="Arial"/>
        </w:rPr>
        <w:t xml:space="preserve">. Drug and alcohol treatment provides a positive return on investment both financially and socially by reducing costs to health, criminal justice and other sectors and reducing harms to individuals, families and communities. </w:t>
      </w:r>
    </w:p>
    <w:p w14:paraId="43386209" w14:textId="1132A0F0" w:rsidR="006551DD" w:rsidRPr="00ED2273" w:rsidRDefault="006551DD" w:rsidP="006551DD">
      <w:pPr>
        <w:jc w:val="both"/>
        <w:rPr>
          <w:rFonts w:eastAsia="Calibri" w:cs="Arial"/>
          <w:szCs w:val="24"/>
          <w:lang w:val="en"/>
        </w:rPr>
      </w:pPr>
      <w:r w:rsidRPr="00ED2273">
        <w:rPr>
          <w:rFonts w:eastAsia="Calibri" w:cs="Arial"/>
          <w:szCs w:val="24"/>
          <w:lang w:val="en"/>
        </w:rPr>
        <w:lastRenderedPageBreak/>
        <w:t>Providing well</w:t>
      </w:r>
      <w:r w:rsidR="007E34A5">
        <w:rPr>
          <w:rFonts w:eastAsia="Calibri" w:cs="Arial"/>
          <w:szCs w:val="24"/>
          <w:lang w:val="en"/>
        </w:rPr>
        <w:t>-</w:t>
      </w:r>
      <w:r w:rsidRPr="00ED2273">
        <w:rPr>
          <w:rFonts w:eastAsia="Calibri" w:cs="Arial"/>
          <w:szCs w:val="24"/>
          <w:lang w:val="en"/>
        </w:rPr>
        <w:t>funded drug and alcohol services is good value for money because it cuts crime, improves health, and can support individuals and families on the road to recovery.</w:t>
      </w:r>
    </w:p>
    <w:p w14:paraId="6515BA26" w14:textId="77777777" w:rsidR="006551DD" w:rsidRPr="00ED2273" w:rsidRDefault="006551DD" w:rsidP="006551DD">
      <w:pPr>
        <w:spacing w:before="100" w:beforeAutospacing="1" w:after="300"/>
        <w:jc w:val="both"/>
        <w:rPr>
          <w:rFonts w:cs="Arial"/>
          <w:szCs w:val="24"/>
          <w:lang w:val="en" w:eastAsia="en-GB"/>
        </w:rPr>
      </w:pPr>
      <w:r w:rsidRPr="00ED2273">
        <w:rPr>
          <w:rFonts w:eastAsia="Calibri" w:cs="Arial"/>
          <w:szCs w:val="24"/>
          <w:lang w:val="en-US"/>
        </w:rPr>
        <w:t xml:space="preserve">Figures </w:t>
      </w:r>
      <w:r w:rsidRPr="00ED2273">
        <w:rPr>
          <w:rFonts w:eastAsia="Calibri" w:cs="Arial"/>
          <w:szCs w:val="24"/>
          <w:lang w:val="en"/>
        </w:rPr>
        <w:t>taken from PHE’s alcohol and drug treatment commissioning tool for L.A.s demonstrates</w:t>
      </w:r>
      <w:r w:rsidRPr="00ED2273">
        <w:rPr>
          <w:rFonts w:cs="Arial"/>
          <w:szCs w:val="24"/>
          <w:lang w:val="en" w:eastAsia="en-GB"/>
        </w:rPr>
        <w:t>:</w:t>
      </w:r>
    </w:p>
    <w:p w14:paraId="0D933D91" w14:textId="77777777" w:rsidR="006551DD" w:rsidRPr="00ED2273" w:rsidRDefault="006551DD" w:rsidP="00DB39E0">
      <w:pPr>
        <w:numPr>
          <w:ilvl w:val="0"/>
          <w:numId w:val="9"/>
        </w:numPr>
        <w:spacing w:before="100" w:beforeAutospacing="1" w:after="100" w:afterAutospacing="1"/>
        <w:jc w:val="both"/>
        <w:rPr>
          <w:rFonts w:cs="Arial"/>
          <w:szCs w:val="24"/>
          <w:lang w:val="en" w:eastAsia="en-GB"/>
        </w:rPr>
      </w:pPr>
      <w:r w:rsidRPr="00ED2273">
        <w:rPr>
          <w:rFonts w:cs="Arial"/>
          <w:szCs w:val="24"/>
          <w:lang w:val="en" w:eastAsia="en-GB"/>
        </w:rPr>
        <w:t>Alcohol treatment reflects a return on investment of £3 for every £1 invested, which increases to £26 over 10 years.</w:t>
      </w:r>
    </w:p>
    <w:p w14:paraId="64AD9D85" w14:textId="77777777" w:rsidR="006551DD" w:rsidRPr="00ED2273" w:rsidRDefault="006551DD" w:rsidP="00DB39E0">
      <w:pPr>
        <w:numPr>
          <w:ilvl w:val="0"/>
          <w:numId w:val="9"/>
        </w:numPr>
        <w:spacing w:before="100" w:beforeAutospacing="1" w:after="100" w:afterAutospacing="1"/>
        <w:jc w:val="both"/>
        <w:rPr>
          <w:rFonts w:cs="Arial"/>
        </w:rPr>
      </w:pPr>
      <w:r w:rsidRPr="00ED2273">
        <w:rPr>
          <w:rFonts w:cs="Arial"/>
          <w:szCs w:val="24"/>
          <w:lang w:val="en" w:eastAsia="en-GB"/>
        </w:rPr>
        <w:t>Drug treatment reflects a return on investment of £4 for every £1 invested, which increases to £21 over 10 years</w:t>
      </w:r>
    </w:p>
    <w:p w14:paraId="27DDD55D" w14:textId="6094A1C4" w:rsidR="000414AA" w:rsidRDefault="000A7DD6" w:rsidP="008818C0">
      <w:pPr>
        <w:jc w:val="both"/>
        <w:rPr>
          <w:rFonts w:eastAsia="Calibri" w:cs="Arial"/>
          <w:color w:val="808080" w:themeColor="background1" w:themeShade="80"/>
          <w:sz w:val="16"/>
          <w:szCs w:val="16"/>
          <w:u w:val="single"/>
          <w:lang w:val="en"/>
        </w:rPr>
      </w:pPr>
      <w:hyperlink r:id="rId18" w:history="1">
        <w:r w:rsidR="006551DD" w:rsidRPr="006551DD">
          <w:rPr>
            <w:rFonts w:eastAsia="Calibri" w:cs="Arial"/>
            <w:color w:val="808080" w:themeColor="background1" w:themeShade="80"/>
            <w:sz w:val="16"/>
            <w:szCs w:val="16"/>
            <w:u w:val="single"/>
            <w:lang w:val="en"/>
          </w:rPr>
          <w:t>https://www.gov.uk/government/publications/alcohol-and-drug-prevention-treatment-and-recovery-why-invest/alcohol-and-drug-prevention-treatment-and-recovery-why-invest</w:t>
        </w:r>
      </w:hyperlink>
    </w:p>
    <w:p w14:paraId="410EB97D" w14:textId="6CEECFB7" w:rsidR="008818C0" w:rsidRDefault="008818C0" w:rsidP="008818C0">
      <w:pPr>
        <w:jc w:val="both"/>
        <w:rPr>
          <w:rFonts w:eastAsia="Calibri" w:cs="Arial"/>
          <w:color w:val="808080" w:themeColor="background1" w:themeShade="80"/>
          <w:sz w:val="16"/>
          <w:szCs w:val="16"/>
          <w:u w:val="single"/>
          <w:lang w:val="en"/>
        </w:rPr>
      </w:pPr>
    </w:p>
    <w:p w14:paraId="5514D939" w14:textId="786DFA9E" w:rsidR="00333FAA" w:rsidRDefault="00333FAA" w:rsidP="000B7C66">
      <w:pPr>
        <w:pStyle w:val="Heading2"/>
        <w:spacing w:before="480" w:after="240"/>
      </w:pPr>
      <w:r>
        <w:t>Section 3 - Statutory Officer Clearance</w:t>
      </w:r>
    </w:p>
    <w:p w14:paraId="31A59699" w14:textId="77777777" w:rsidR="006E31AB" w:rsidRPr="000A7DD6" w:rsidRDefault="00A66326" w:rsidP="00D87D4E">
      <w:pPr>
        <w:rPr>
          <w:szCs w:val="24"/>
        </w:rPr>
      </w:pPr>
      <w:r w:rsidRPr="000A7DD6">
        <w:rPr>
          <w:b/>
          <w:szCs w:val="24"/>
        </w:rPr>
        <w:t xml:space="preserve">Statutory Officer:  </w:t>
      </w:r>
      <w:r w:rsidR="006E31AB" w:rsidRPr="000A7DD6">
        <w:rPr>
          <w:szCs w:val="24"/>
        </w:rPr>
        <w:t>Donna Edwards</w:t>
      </w:r>
    </w:p>
    <w:p w14:paraId="06450070" w14:textId="0029C71D" w:rsidR="00A66326" w:rsidRPr="000A7DD6" w:rsidRDefault="00A66326" w:rsidP="00D87D4E">
      <w:pPr>
        <w:rPr>
          <w:szCs w:val="24"/>
        </w:rPr>
      </w:pPr>
      <w:r w:rsidRPr="000A7DD6">
        <w:rPr>
          <w:szCs w:val="24"/>
        </w:rPr>
        <w:t>Signed on behalf of the Chief Financial Officer</w:t>
      </w:r>
    </w:p>
    <w:p w14:paraId="555021EF" w14:textId="1125E607" w:rsidR="00A66326" w:rsidRPr="000A7DD6" w:rsidRDefault="00A66326" w:rsidP="00D87D4E">
      <w:pPr>
        <w:tabs>
          <w:tab w:val="left" w:pos="1358"/>
        </w:tabs>
        <w:rPr>
          <w:szCs w:val="24"/>
        </w:rPr>
      </w:pPr>
      <w:r w:rsidRPr="000A7DD6">
        <w:rPr>
          <w:b/>
          <w:szCs w:val="24"/>
        </w:rPr>
        <w:t xml:space="preserve">Date:  </w:t>
      </w:r>
      <w:r w:rsidR="00080E5D" w:rsidRPr="000A7DD6">
        <w:rPr>
          <w:bCs/>
          <w:szCs w:val="24"/>
        </w:rPr>
        <w:t>7</w:t>
      </w:r>
      <w:r w:rsidR="00080E5D" w:rsidRPr="000A7DD6">
        <w:rPr>
          <w:bCs/>
          <w:szCs w:val="24"/>
          <w:vertAlign w:val="superscript"/>
        </w:rPr>
        <w:t>th</w:t>
      </w:r>
      <w:r w:rsidR="00080E5D" w:rsidRPr="000A7DD6">
        <w:rPr>
          <w:bCs/>
          <w:szCs w:val="24"/>
        </w:rPr>
        <w:t xml:space="preserve"> September 2021</w:t>
      </w:r>
    </w:p>
    <w:p w14:paraId="04DCAA56" w14:textId="77777777" w:rsidR="00D87D4E" w:rsidRPr="000A7DD6" w:rsidRDefault="00D87D4E" w:rsidP="00D87D4E">
      <w:pPr>
        <w:rPr>
          <w:b/>
          <w:szCs w:val="24"/>
        </w:rPr>
      </w:pPr>
    </w:p>
    <w:p w14:paraId="6F16A828" w14:textId="1184CEFB" w:rsidR="00837508" w:rsidRPr="000A7DD6" w:rsidRDefault="00C736FA" w:rsidP="00D87D4E">
      <w:pPr>
        <w:rPr>
          <w:bCs/>
          <w:szCs w:val="24"/>
        </w:rPr>
      </w:pPr>
      <w:r w:rsidRPr="000A7DD6">
        <w:rPr>
          <w:b/>
          <w:szCs w:val="24"/>
        </w:rPr>
        <w:t>Statutory Officer:</w:t>
      </w:r>
      <w:r w:rsidRPr="000A7DD6">
        <w:rPr>
          <w:bCs/>
          <w:szCs w:val="24"/>
        </w:rPr>
        <w:t xml:space="preserve"> </w:t>
      </w:r>
      <w:r w:rsidR="00837508" w:rsidRPr="000A7DD6">
        <w:rPr>
          <w:bCs/>
          <w:szCs w:val="24"/>
        </w:rPr>
        <w:t xml:space="preserve">Sarah </w:t>
      </w:r>
      <w:r w:rsidR="009B7154" w:rsidRPr="000A7DD6">
        <w:rPr>
          <w:bCs/>
          <w:szCs w:val="24"/>
        </w:rPr>
        <w:t xml:space="preserve">Inverary </w:t>
      </w:r>
    </w:p>
    <w:p w14:paraId="7CF67F5A" w14:textId="5DC85955" w:rsidR="00CA2458" w:rsidRPr="000A7DD6" w:rsidRDefault="00675CB0" w:rsidP="00D87D4E">
      <w:pPr>
        <w:rPr>
          <w:b/>
          <w:szCs w:val="24"/>
        </w:rPr>
      </w:pPr>
      <w:r w:rsidRPr="000A7DD6">
        <w:rPr>
          <w:bCs/>
          <w:szCs w:val="24"/>
        </w:rPr>
        <w:t xml:space="preserve">Signed on behalf of the Monitoring Officer </w:t>
      </w:r>
    </w:p>
    <w:p w14:paraId="64BE9D37" w14:textId="0D52C19D" w:rsidR="00172801" w:rsidRPr="000A7DD6" w:rsidRDefault="00172801" w:rsidP="00D87D4E">
      <w:pPr>
        <w:rPr>
          <w:bCs/>
          <w:szCs w:val="24"/>
        </w:rPr>
      </w:pPr>
      <w:r w:rsidRPr="000A7DD6">
        <w:rPr>
          <w:b/>
          <w:szCs w:val="24"/>
        </w:rPr>
        <w:t xml:space="preserve">Date:  </w:t>
      </w:r>
      <w:r w:rsidRPr="000A7DD6">
        <w:rPr>
          <w:bCs/>
          <w:szCs w:val="24"/>
        </w:rPr>
        <w:t>10</w:t>
      </w:r>
      <w:r w:rsidRPr="000A7DD6">
        <w:rPr>
          <w:bCs/>
          <w:szCs w:val="24"/>
          <w:vertAlign w:val="superscript"/>
        </w:rPr>
        <w:t xml:space="preserve">th </w:t>
      </w:r>
      <w:r w:rsidRPr="000A7DD6">
        <w:rPr>
          <w:bCs/>
          <w:szCs w:val="24"/>
        </w:rPr>
        <w:t>September 2021</w:t>
      </w:r>
    </w:p>
    <w:p w14:paraId="282313E2" w14:textId="77777777" w:rsidR="00172801" w:rsidRPr="000A7DD6" w:rsidRDefault="00172801" w:rsidP="00D87D4E">
      <w:pPr>
        <w:rPr>
          <w:b/>
          <w:szCs w:val="24"/>
        </w:rPr>
      </w:pPr>
    </w:p>
    <w:p w14:paraId="5BAA5C65" w14:textId="2F05405C" w:rsidR="00675CB0" w:rsidRPr="000A7DD6" w:rsidRDefault="00A41686" w:rsidP="00675CB0">
      <w:pPr>
        <w:rPr>
          <w:bCs/>
          <w:szCs w:val="24"/>
        </w:rPr>
      </w:pPr>
      <w:r w:rsidRPr="000A7DD6">
        <w:rPr>
          <w:b/>
          <w:szCs w:val="24"/>
        </w:rPr>
        <w:t>Statutory Officer:</w:t>
      </w:r>
      <w:r w:rsidRPr="000A7DD6">
        <w:rPr>
          <w:bCs/>
          <w:szCs w:val="24"/>
        </w:rPr>
        <w:t xml:space="preserve"> Leila Gillespie</w:t>
      </w:r>
      <w:r w:rsidR="00675CB0" w:rsidRPr="000A7DD6">
        <w:rPr>
          <w:bCs/>
          <w:szCs w:val="24"/>
        </w:rPr>
        <w:t xml:space="preserve"> </w:t>
      </w:r>
    </w:p>
    <w:p w14:paraId="205AA2E2" w14:textId="6A17FBC0" w:rsidR="00A41686" w:rsidRPr="000A7DD6" w:rsidRDefault="00675CB0" w:rsidP="00A41686">
      <w:pPr>
        <w:rPr>
          <w:bCs/>
          <w:szCs w:val="24"/>
        </w:rPr>
      </w:pPr>
      <w:r w:rsidRPr="000A7DD6">
        <w:rPr>
          <w:bCs/>
          <w:szCs w:val="24"/>
        </w:rPr>
        <w:t xml:space="preserve">Signed on behalf of the Head of Procurement </w:t>
      </w:r>
    </w:p>
    <w:p w14:paraId="50277013" w14:textId="706DCC50" w:rsidR="00A41686" w:rsidRPr="000A7DD6" w:rsidRDefault="00A41686" w:rsidP="00A41686">
      <w:pPr>
        <w:rPr>
          <w:bCs/>
          <w:szCs w:val="24"/>
        </w:rPr>
      </w:pPr>
      <w:r w:rsidRPr="000A7DD6">
        <w:rPr>
          <w:b/>
          <w:szCs w:val="24"/>
        </w:rPr>
        <w:t>Date:</w:t>
      </w:r>
      <w:r w:rsidRPr="000A7DD6">
        <w:rPr>
          <w:bCs/>
          <w:szCs w:val="24"/>
        </w:rPr>
        <w:t xml:space="preserve"> 7</w:t>
      </w:r>
      <w:r w:rsidRPr="000A7DD6">
        <w:rPr>
          <w:bCs/>
          <w:szCs w:val="24"/>
          <w:vertAlign w:val="superscript"/>
        </w:rPr>
        <w:t>th</w:t>
      </w:r>
      <w:r w:rsidRPr="000A7DD6">
        <w:rPr>
          <w:bCs/>
          <w:szCs w:val="24"/>
        </w:rPr>
        <w:t xml:space="preserve"> September 2021</w:t>
      </w:r>
    </w:p>
    <w:p w14:paraId="3F43FB98" w14:textId="2E17CAAA" w:rsidR="00AC264F" w:rsidRPr="000A7DD6" w:rsidRDefault="00AC264F" w:rsidP="00A41686">
      <w:pPr>
        <w:rPr>
          <w:bCs/>
          <w:szCs w:val="24"/>
        </w:rPr>
      </w:pPr>
    </w:p>
    <w:p w14:paraId="73277E96" w14:textId="7782E6B4" w:rsidR="00AC264F" w:rsidRPr="000A7DD6" w:rsidRDefault="00AC264F" w:rsidP="00AC264F">
      <w:pPr>
        <w:rPr>
          <w:bCs/>
          <w:szCs w:val="24"/>
        </w:rPr>
      </w:pPr>
      <w:r w:rsidRPr="000A7DD6">
        <w:rPr>
          <w:b/>
          <w:szCs w:val="24"/>
        </w:rPr>
        <w:t>Statutory Officer:</w:t>
      </w:r>
      <w:r w:rsidRPr="000A7DD6">
        <w:rPr>
          <w:bCs/>
          <w:szCs w:val="24"/>
        </w:rPr>
        <w:t xml:space="preserve"> Neale Burns</w:t>
      </w:r>
      <w:r w:rsidR="00675CB0" w:rsidRPr="000A7DD6">
        <w:rPr>
          <w:bCs/>
          <w:szCs w:val="24"/>
        </w:rPr>
        <w:t xml:space="preserve"> </w:t>
      </w:r>
    </w:p>
    <w:p w14:paraId="4D303D2C" w14:textId="3521F63A" w:rsidR="00AC264F" w:rsidRPr="000A7DD6" w:rsidRDefault="00675CB0" w:rsidP="00AC264F">
      <w:pPr>
        <w:rPr>
          <w:bCs/>
          <w:szCs w:val="24"/>
        </w:rPr>
      </w:pPr>
      <w:r w:rsidRPr="000A7DD6">
        <w:rPr>
          <w:bCs/>
          <w:szCs w:val="24"/>
        </w:rPr>
        <w:t>Signed on behalf of the Head of Internal Audit</w:t>
      </w:r>
    </w:p>
    <w:p w14:paraId="4EA7A46A" w14:textId="5C18ACEA" w:rsidR="00AC264F" w:rsidRPr="000A7DD6" w:rsidRDefault="00AC264F" w:rsidP="00AC264F">
      <w:pPr>
        <w:rPr>
          <w:bCs/>
          <w:szCs w:val="24"/>
        </w:rPr>
      </w:pPr>
      <w:r w:rsidRPr="000A7DD6">
        <w:rPr>
          <w:b/>
          <w:szCs w:val="24"/>
        </w:rPr>
        <w:t>Date:</w:t>
      </w:r>
      <w:r w:rsidRPr="000A7DD6">
        <w:rPr>
          <w:bCs/>
          <w:szCs w:val="24"/>
        </w:rPr>
        <w:t xml:space="preserve"> </w:t>
      </w:r>
      <w:r w:rsidR="00E644BF" w:rsidRPr="000A7DD6">
        <w:rPr>
          <w:bCs/>
          <w:szCs w:val="24"/>
        </w:rPr>
        <w:t>13</w:t>
      </w:r>
      <w:r w:rsidRPr="000A7DD6">
        <w:rPr>
          <w:bCs/>
          <w:szCs w:val="24"/>
          <w:vertAlign w:val="superscript"/>
        </w:rPr>
        <w:t>th</w:t>
      </w:r>
      <w:r w:rsidRPr="000A7DD6">
        <w:rPr>
          <w:bCs/>
          <w:szCs w:val="24"/>
        </w:rPr>
        <w:t xml:space="preserve"> September 2021</w:t>
      </w:r>
    </w:p>
    <w:p w14:paraId="61C6AA6E" w14:textId="77777777" w:rsidR="00AC264F" w:rsidRPr="000A7DD6" w:rsidRDefault="00AC264F" w:rsidP="00A41686">
      <w:pPr>
        <w:rPr>
          <w:bCs/>
          <w:szCs w:val="24"/>
        </w:rPr>
      </w:pPr>
    </w:p>
    <w:p w14:paraId="31D8FA55" w14:textId="1B22FBD0" w:rsidR="00BF5AFA" w:rsidRPr="000A7DD6" w:rsidRDefault="00BF5AFA" w:rsidP="00D87D4E">
      <w:pPr>
        <w:rPr>
          <w:bCs/>
          <w:szCs w:val="24"/>
        </w:rPr>
      </w:pPr>
      <w:r w:rsidRPr="000A7DD6">
        <w:rPr>
          <w:b/>
          <w:szCs w:val="24"/>
        </w:rPr>
        <w:t xml:space="preserve">Chief Officer:  </w:t>
      </w:r>
      <w:r w:rsidR="006E31AB" w:rsidRPr="000A7DD6">
        <w:rPr>
          <w:b/>
          <w:szCs w:val="24"/>
        </w:rPr>
        <w:t xml:space="preserve"> </w:t>
      </w:r>
      <w:r w:rsidR="006E31AB" w:rsidRPr="000A7DD6">
        <w:rPr>
          <w:bCs/>
          <w:szCs w:val="24"/>
        </w:rPr>
        <w:t>Paul Hewit</w:t>
      </w:r>
      <w:r w:rsidR="00EF61A0" w:rsidRPr="000A7DD6">
        <w:rPr>
          <w:bCs/>
          <w:szCs w:val="24"/>
        </w:rPr>
        <w:t>t</w:t>
      </w:r>
    </w:p>
    <w:p w14:paraId="6C086558" w14:textId="1D69D767" w:rsidR="00BF5AFA" w:rsidRPr="000A7DD6" w:rsidRDefault="00BF5AFA" w:rsidP="00D87D4E">
      <w:pPr>
        <w:rPr>
          <w:szCs w:val="24"/>
        </w:rPr>
      </w:pPr>
      <w:r w:rsidRPr="000A7DD6">
        <w:rPr>
          <w:szCs w:val="24"/>
        </w:rPr>
        <w:t>Signed off by the Corporate Director</w:t>
      </w:r>
    </w:p>
    <w:p w14:paraId="5F67CDF0" w14:textId="632BB4F3" w:rsidR="00BF5AFA" w:rsidRDefault="00BF5AFA" w:rsidP="00D87D4E">
      <w:pPr>
        <w:rPr>
          <w:bCs/>
          <w:sz w:val="28"/>
        </w:rPr>
      </w:pPr>
      <w:r w:rsidRPr="000A7DD6">
        <w:rPr>
          <w:b/>
          <w:szCs w:val="24"/>
        </w:rPr>
        <w:t xml:space="preserve">Date:  </w:t>
      </w:r>
      <w:r w:rsidR="00B25DE7" w:rsidRPr="000A7DD6">
        <w:rPr>
          <w:bCs/>
          <w:szCs w:val="24"/>
        </w:rPr>
        <w:t>13</w:t>
      </w:r>
      <w:r w:rsidR="00B25DE7" w:rsidRPr="000A7DD6">
        <w:rPr>
          <w:bCs/>
          <w:szCs w:val="24"/>
          <w:vertAlign w:val="superscript"/>
        </w:rPr>
        <w:t xml:space="preserve">th </w:t>
      </w:r>
      <w:r w:rsidR="00B25DE7" w:rsidRPr="000A7DD6">
        <w:rPr>
          <w:bCs/>
          <w:szCs w:val="24"/>
        </w:rPr>
        <w:t>September 2021</w:t>
      </w:r>
    </w:p>
    <w:p w14:paraId="45A19EC7" w14:textId="59434FDF" w:rsidR="003313EA" w:rsidRPr="00E571AE" w:rsidRDefault="003313EA" w:rsidP="00BF5AFA">
      <w:pPr>
        <w:pStyle w:val="Heading2"/>
        <w:spacing w:before="480" w:after="240"/>
      </w:pPr>
      <w:r w:rsidRPr="00E571AE">
        <w:t>Mandatory Checks</w:t>
      </w:r>
    </w:p>
    <w:p w14:paraId="64551188" w14:textId="15615D94" w:rsidR="003313EA" w:rsidRPr="00E571AE" w:rsidRDefault="003313EA" w:rsidP="003313EA">
      <w:pPr>
        <w:pStyle w:val="Heading3"/>
        <w:ind w:left="0" w:firstLine="0"/>
        <w:jc w:val="left"/>
      </w:pPr>
      <w:r w:rsidRPr="00E571AE">
        <w:t xml:space="preserve">Ward Councillors notified:  NO as it impacts on all Wards </w:t>
      </w:r>
    </w:p>
    <w:p w14:paraId="144D0F82" w14:textId="022D7878" w:rsidR="003313EA" w:rsidRPr="006551DD" w:rsidRDefault="003313EA" w:rsidP="006551DD">
      <w:pPr>
        <w:pStyle w:val="Heading3"/>
        <w:spacing w:before="240"/>
        <w:rPr>
          <w:b w:val="0"/>
          <w:bCs w:val="0"/>
        </w:rPr>
      </w:pPr>
      <w:r w:rsidRPr="00202D79">
        <w:t>EqIA carried out:</w:t>
      </w:r>
      <w:r>
        <w:t xml:space="preserve">  </w:t>
      </w:r>
      <w:r w:rsidRPr="006551DD">
        <w:rPr>
          <w:b w:val="0"/>
          <w:bCs w:val="0"/>
        </w:rPr>
        <w:t>YES</w:t>
      </w:r>
    </w:p>
    <w:p w14:paraId="6B589F3A" w14:textId="50D84A9B" w:rsidR="003313EA" w:rsidRPr="00E571AE" w:rsidRDefault="003313EA" w:rsidP="00842757">
      <w:pPr>
        <w:pStyle w:val="Heading3"/>
        <w:spacing w:before="240"/>
        <w:jc w:val="left"/>
      </w:pPr>
      <w:r w:rsidRPr="00E571AE">
        <w:t xml:space="preserve">EqIA cleared by:  </w:t>
      </w:r>
      <w:r w:rsidR="007D3493" w:rsidRPr="007D3493">
        <w:rPr>
          <w:b w:val="0"/>
          <w:bCs w:val="0"/>
        </w:rPr>
        <w:t>Johanna Morgan</w:t>
      </w:r>
      <w:r w:rsidR="007D3493">
        <w:rPr>
          <w:b w:val="0"/>
          <w:bCs w:val="0"/>
        </w:rPr>
        <w:t xml:space="preserve"> </w:t>
      </w:r>
      <w:r w:rsidR="00675CB0">
        <w:rPr>
          <w:b w:val="0"/>
          <w:bCs w:val="0"/>
        </w:rPr>
        <w:t xml:space="preserve">- </w:t>
      </w:r>
      <w:r w:rsidR="00D97EBB">
        <w:rPr>
          <w:b w:val="0"/>
          <w:bCs w:val="0"/>
        </w:rPr>
        <w:t xml:space="preserve">EQI Lead </w:t>
      </w:r>
      <w:r w:rsidR="00675CB0">
        <w:rPr>
          <w:b w:val="0"/>
          <w:bCs w:val="0"/>
        </w:rPr>
        <w:t>(</w:t>
      </w:r>
      <w:r w:rsidR="00D97EBB">
        <w:rPr>
          <w:b w:val="0"/>
          <w:bCs w:val="0"/>
        </w:rPr>
        <w:t>People</w:t>
      </w:r>
      <w:r w:rsidR="000A7DD6">
        <w:rPr>
          <w:b w:val="0"/>
          <w:bCs w:val="0"/>
        </w:rPr>
        <w:t>’</w:t>
      </w:r>
      <w:r w:rsidR="00D97EBB">
        <w:rPr>
          <w:b w:val="0"/>
          <w:bCs w:val="0"/>
        </w:rPr>
        <w:t xml:space="preserve">s </w:t>
      </w:r>
      <w:bookmarkStart w:id="1" w:name="_GoBack"/>
      <w:bookmarkEnd w:id="1"/>
      <w:r w:rsidR="00D97EBB">
        <w:rPr>
          <w:b w:val="0"/>
          <w:bCs w:val="0"/>
        </w:rPr>
        <w:t>Directorat</w:t>
      </w:r>
      <w:r w:rsidR="006F2A13">
        <w:rPr>
          <w:b w:val="0"/>
          <w:bCs w:val="0"/>
        </w:rPr>
        <w:t>e</w:t>
      </w:r>
      <w:r w:rsidR="00675CB0">
        <w:rPr>
          <w:b w:val="0"/>
          <w:bCs w:val="0"/>
        </w:rPr>
        <w:t>)</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5FEFEE02" w14:textId="5E696051" w:rsidR="006551DD" w:rsidRDefault="00333FAA" w:rsidP="009B7154">
      <w:pPr>
        <w:pStyle w:val="Infotext"/>
        <w:spacing w:after="240"/>
        <w:rPr>
          <w:b/>
          <w:bCs/>
          <w:color w:val="8064A2"/>
        </w:rPr>
      </w:pPr>
      <w:r w:rsidRPr="004E47FC">
        <w:rPr>
          <w:b/>
        </w:rPr>
        <w:t xml:space="preserve">Contact:  </w:t>
      </w:r>
      <w:r w:rsidR="006551DD" w:rsidRPr="00FD3428">
        <w:t>Laurence Gibson</w:t>
      </w:r>
      <w:r w:rsidR="00675CB0">
        <w:t xml:space="preserve">, </w:t>
      </w:r>
      <w:r w:rsidR="006551DD" w:rsidRPr="00FD3428">
        <w:t>Consultant in Public Health</w:t>
      </w:r>
      <w:r w:rsidR="009B7154">
        <w:t xml:space="preserve">, </w:t>
      </w:r>
      <w:hyperlink r:id="rId19" w:history="1">
        <w:r w:rsidR="006551DD" w:rsidRPr="00FD3428">
          <w:rPr>
            <w:rStyle w:val="Hyperlink"/>
          </w:rPr>
          <w:t>Laurence.Gibson@harrow.gov.uk</w:t>
        </w:r>
      </w:hyperlink>
    </w:p>
    <w:p w14:paraId="2A8FE465" w14:textId="7EF11566" w:rsidR="006551DD" w:rsidRDefault="00333FAA" w:rsidP="00CC18AC">
      <w:pPr>
        <w:pStyle w:val="Infotext"/>
        <w:spacing w:after="240"/>
        <w:rPr>
          <w:b/>
        </w:rPr>
      </w:pPr>
      <w:r w:rsidRPr="004E47FC">
        <w:rPr>
          <w:b/>
        </w:rPr>
        <w:t xml:space="preserve">Background Papers: </w:t>
      </w:r>
    </w:p>
    <w:p w14:paraId="38CB2B7A" w14:textId="13CF82FE" w:rsidR="006551DD" w:rsidRPr="006551DD" w:rsidRDefault="00675CB0" w:rsidP="006551DD">
      <w:pPr>
        <w:pStyle w:val="Infotext"/>
        <w:rPr>
          <w:sz w:val="24"/>
          <w:szCs w:val="24"/>
        </w:rPr>
      </w:pPr>
      <w:r>
        <w:rPr>
          <w:sz w:val="24"/>
          <w:szCs w:val="24"/>
        </w:rPr>
        <w:t>None</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843B043" w14:textId="1AE11009" w:rsidR="00842757" w:rsidRPr="003D78F6" w:rsidRDefault="00842757" w:rsidP="00A53B04">
      <w:pPr>
        <w:pStyle w:val="Infotext"/>
        <w:rPr>
          <w:i/>
          <w:sz w:val="24"/>
          <w:szCs w:val="24"/>
        </w:rPr>
      </w:pPr>
    </w:p>
    <w:p w14:paraId="45AAF252" w14:textId="125608D5" w:rsidR="00410FB1" w:rsidRDefault="00842757" w:rsidP="00A85FA3">
      <w:pPr>
        <w:pStyle w:val="Infotext"/>
        <w:spacing w:before="240"/>
        <w:rPr>
          <w:rFonts w:cs="Arial"/>
          <w:i/>
          <w:color w:val="FF0000"/>
          <w:sz w:val="24"/>
          <w:szCs w:val="24"/>
          <w:lang w:eastAsia="en-GB"/>
        </w:rPr>
      </w:pPr>
      <w:r w:rsidRPr="003D78F6">
        <w:rPr>
          <w:b/>
        </w:rPr>
        <w:t>NO</w:t>
      </w:r>
    </w:p>
    <w:p w14:paraId="2C89BAA7" w14:textId="77777777" w:rsidR="00410FB1" w:rsidRDefault="00410FB1" w:rsidP="00ED6776">
      <w:pPr>
        <w:pStyle w:val="Infotext"/>
        <w:tabs>
          <w:tab w:val="left" w:pos="3768"/>
          <w:tab w:val="left" w:pos="4315"/>
        </w:tabs>
        <w:rPr>
          <w:rFonts w:cs="Arial"/>
          <w:i/>
          <w:color w:val="FF0000"/>
          <w:sz w:val="24"/>
          <w:szCs w:val="24"/>
          <w:lang w:eastAsia="en-GB"/>
        </w:rPr>
      </w:pPr>
    </w:p>
    <w:p w14:paraId="031C1C77" w14:textId="77777777" w:rsidR="00410FB1" w:rsidRDefault="00410FB1" w:rsidP="00ED6776">
      <w:pPr>
        <w:pStyle w:val="Infotext"/>
        <w:tabs>
          <w:tab w:val="left" w:pos="3768"/>
          <w:tab w:val="left" w:pos="4315"/>
        </w:tabs>
        <w:rPr>
          <w:rFonts w:cs="Arial"/>
          <w:i/>
          <w:color w:val="FF0000"/>
          <w:sz w:val="24"/>
          <w:szCs w:val="24"/>
          <w:lang w:eastAsia="en-GB"/>
        </w:rPr>
      </w:pPr>
    </w:p>
    <w:p w14:paraId="10EB8F6D" w14:textId="77777777" w:rsidR="00410FB1" w:rsidRDefault="00410FB1" w:rsidP="00ED6776">
      <w:pPr>
        <w:pStyle w:val="Infotext"/>
        <w:tabs>
          <w:tab w:val="left" w:pos="3768"/>
          <w:tab w:val="left" w:pos="4315"/>
        </w:tabs>
        <w:rPr>
          <w:rFonts w:cs="Arial"/>
          <w:i/>
          <w:color w:val="FF0000"/>
          <w:sz w:val="24"/>
          <w:szCs w:val="24"/>
          <w:lang w:eastAsia="en-GB"/>
        </w:rPr>
      </w:pPr>
    </w:p>
    <w:p w14:paraId="3CCA5C3B" w14:textId="687CA5A5" w:rsidR="000D4E36" w:rsidRPr="00ED6776" w:rsidRDefault="00842757" w:rsidP="00ED6776">
      <w:pPr>
        <w:pStyle w:val="Infotext"/>
        <w:tabs>
          <w:tab w:val="left" w:pos="3768"/>
          <w:tab w:val="left" w:pos="4315"/>
        </w:tabs>
        <w:rPr>
          <w:rFonts w:cs="Arial"/>
          <w:i/>
          <w:sz w:val="24"/>
          <w:szCs w:val="24"/>
          <w:lang w:eastAsia="en-GB"/>
        </w:rPr>
      </w:pPr>
      <w:r w:rsidRPr="0017653E">
        <w:rPr>
          <w:rFonts w:cs="Arial"/>
          <w:i/>
          <w:color w:val="FF0000"/>
          <w:sz w:val="24"/>
          <w:szCs w:val="24"/>
          <w:lang w:eastAsia="en-GB"/>
        </w:rPr>
        <w:t>.</w:t>
      </w:r>
    </w:p>
    <w:sectPr w:rsidR="000D4E36" w:rsidRPr="00ED6776" w:rsidSect="001614E0">
      <w:headerReference w:type="default" r:id="rId20"/>
      <w:headerReference w:type="first" r:id="rId21"/>
      <w:footerReference w:type="first" r:id="rId22"/>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F93E3" w14:textId="77777777" w:rsidR="00C67335" w:rsidRDefault="00C67335">
      <w:r>
        <w:separator/>
      </w:r>
    </w:p>
  </w:endnote>
  <w:endnote w:type="continuationSeparator" w:id="0">
    <w:p w14:paraId="2A832E6D" w14:textId="77777777" w:rsidR="00C67335" w:rsidRDefault="00C6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EC169" w14:textId="77777777" w:rsidR="00C67335" w:rsidRDefault="00C67335">
      <w:r>
        <w:separator/>
      </w:r>
    </w:p>
  </w:footnote>
  <w:footnote w:type="continuationSeparator" w:id="0">
    <w:p w14:paraId="54909517" w14:textId="77777777" w:rsidR="00C67335" w:rsidRDefault="00C6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4204"/>
    <w:multiLevelType w:val="multilevel"/>
    <w:tmpl w:val="454CE118"/>
    <w:lvl w:ilvl="0">
      <w:start w:val="1"/>
      <w:numFmt w:val="decimal"/>
      <w:pStyle w:val="ERParanumbering"/>
      <w:lvlText w:val="%1."/>
      <w:lvlJc w:val="left"/>
      <w:pPr>
        <w:tabs>
          <w:tab w:val="num" w:pos="360"/>
        </w:tabs>
        <w:ind w:left="360" w:hanging="360"/>
      </w:pPr>
      <w:rPr>
        <w:rFonts w:cs="Times New Roman"/>
      </w:rPr>
    </w:lvl>
    <w:lvl w:ilvl="1">
      <w:start w:val="1"/>
      <w:numFmt w:val="decimal"/>
      <w:pStyle w:val="ParagraphNumbering"/>
      <w:lvlText w:val="%1.%2."/>
      <w:lvlJc w:val="left"/>
      <w:pPr>
        <w:tabs>
          <w:tab w:val="num" w:pos="792"/>
        </w:tabs>
        <w:ind w:left="792" w:hanging="79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3DC1EB7"/>
    <w:multiLevelType w:val="multilevel"/>
    <w:tmpl w:val="FB6286D6"/>
    <w:lvl w:ilvl="0">
      <w:start w:val="1"/>
      <w:numFmt w:val="bullet"/>
      <w:lvlText w:val=""/>
      <w:lvlJc w:val="left"/>
      <w:pPr>
        <w:ind w:left="720" w:hanging="360"/>
      </w:pPr>
      <w:rPr>
        <w:rFonts w:ascii="Symbol" w:hAnsi="Symbol" w:hint="default"/>
      </w:rPr>
    </w:lvl>
    <w:lvl w:ilvl="1">
      <w:start w:val="1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A77821"/>
    <w:multiLevelType w:val="hybridMultilevel"/>
    <w:tmpl w:val="D796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172FC"/>
    <w:multiLevelType w:val="hybridMultilevel"/>
    <w:tmpl w:val="2F0ADE78"/>
    <w:lvl w:ilvl="0" w:tplc="0490830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D6450C"/>
    <w:multiLevelType w:val="hybridMultilevel"/>
    <w:tmpl w:val="62CA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7566430"/>
    <w:multiLevelType w:val="hybridMultilevel"/>
    <w:tmpl w:val="983EF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425F8"/>
    <w:multiLevelType w:val="hybridMultilevel"/>
    <w:tmpl w:val="841C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A1D19"/>
    <w:multiLevelType w:val="hybridMultilevel"/>
    <w:tmpl w:val="F22E9952"/>
    <w:lvl w:ilvl="0" w:tplc="D0669820">
      <w:start w:val="1"/>
      <w:numFmt w:val="bullet"/>
      <w:lvlText w:val=""/>
      <w:lvlJc w:val="left"/>
      <w:pPr>
        <w:ind w:left="108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501A60"/>
    <w:multiLevelType w:val="hybridMultilevel"/>
    <w:tmpl w:val="2906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F4DCC"/>
    <w:multiLevelType w:val="hybridMultilevel"/>
    <w:tmpl w:val="7C9A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F4AB9"/>
    <w:multiLevelType w:val="hybridMultilevel"/>
    <w:tmpl w:val="C4D2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D058D2"/>
    <w:multiLevelType w:val="hybridMultilevel"/>
    <w:tmpl w:val="7B92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1"/>
  </w:num>
  <w:num w:numId="5">
    <w:abstractNumId w:val="3"/>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2"/>
  </w:num>
  <w:num w:numId="11">
    <w:abstractNumId w:val="7"/>
  </w:num>
  <w:num w:numId="12">
    <w:abstractNumId w:val="10"/>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638"/>
    <w:rsid w:val="00024DF2"/>
    <w:rsid w:val="0004029A"/>
    <w:rsid w:val="00040519"/>
    <w:rsid w:val="000414AA"/>
    <w:rsid w:val="000474E3"/>
    <w:rsid w:val="0006034E"/>
    <w:rsid w:val="00063783"/>
    <w:rsid w:val="00073765"/>
    <w:rsid w:val="0007420D"/>
    <w:rsid w:val="00080E5D"/>
    <w:rsid w:val="000840C1"/>
    <w:rsid w:val="000929A6"/>
    <w:rsid w:val="000A7DD6"/>
    <w:rsid w:val="000B5015"/>
    <w:rsid w:val="000B788F"/>
    <w:rsid w:val="000B7C66"/>
    <w:rsid w:val="000D4E36"/>
    <w:rsid w:val="000E62FE"/>
    <w:rsid w:val="000F491C"/>
    <w:rsid w:val="000F6495"/>
    <w:rsid w:val="00105155"/>
    <w:rsid w:val="00105B8A"/>
    <w:rsid w:val="001161E4"/>
    <w:rsid w:val="00125A26"/>
    <w:rsid w:val="00140C30"/>
    <w:rsid w:val="001472A8"/>
    <w:rsid w:val="0015376F"/>
    <w:rsid w:val="00155FDA"/>
    <w:rsid w:val="001614E0"/>
    <w:rsid w:val="00171BD8"/>
    <w:rsid w:val="00172801"/>
    <w:rsid w:val="0017653E"/>
    <w:rsid w:val="00182B01"/>
    <w:rsid w:val="001840D2"/>
    <w:rsid w:val="001966D7"/>
    <w:rsid w:val="001B58C7"/>
    <w:rsid w:val="001C4D2E"/>
    <w:rsid w:val="001C7E35"/>
    <w:rsid w:val="001D2938"/>
    <w:rsid w:val="001E3C06"/>
    <w:rsid w:val="001F0037"/>
    <w:rsid w:val="001F0BE9"/>
    <w:rsid w:val="001F28B4"/>
    <w:rsid w:val="00202D79"/>
    <w:rsid w:val="00205D2F"/>
    <w:rsid w:val="00215E8F"/>
    <w:rsid w:val="00221A93"/>
    <w:rsid w:val="002322BB"/>
    <w:rsid w:val="002337DD"/>
    <w:rsid w:val="00233E9B"/>
    <w:rsid w:val="002409B9"/>
    <w:rsid w:val="00251254"/>
    <w:rsid w:val="002548D1"/>
    <w:rsid w:val="0027283B"/>
    <w:rsid w:val="0028019B"/>
    <w:rsid w:val="00282E73"/>
    <w:rsid w:val="00283CAB"/>
    <w:rsid w:val="0028525A"/>
    <w:rsid w:val="002A3145"/>
    <w:rsid w:val="002A3FEF"/>
    <w:rsid w:val="002B3808"/>
    <w:rsid w:val="002B54A6"/>
    <w:rsid w:val="002E4A74"/>
    <w:rsid w:val="002E7C22"/>
    <w:rsid w:val="002F3EE9"/>
    <w:rsid w:val="0030155D"/>
    <w:rsid w:val="00307F76"/>
    <w:rsid w:val="003117E2"/>
    <w:rsid w:val="00316B34"/>
    <w:rsid w:val="00321FBB"/>
    <w:rsid w:val="003313EA"/>
    <w:rsid w:val="00333FAA"/>
    <w:rsid w:val="003355D7"/>
    <w:rsid w:val="0036201C"/>
    <w:rsid w:val="00376768"/>
    <w:rsid w:val="003A2A23"/>
    <w:rsid w:val="003C270D"/>
    <w:rsid w:val="003D05A6"/>
    <w:rsid w:val="003F3AFD"/>
    <w:rsid w:val="003F45F0"/>
    <w:rsid w:val="004076C8"/>
    <w:rsid w:val="00410FB1"/>
    <w:rsid w:val="004207E3"/>
    <w:rsid w:val="00421A4C"/>
    <w:rsid w:val="004238C2"/>
    <w:rsid w:val="00435B5D"/>
    <w:rsid w:val="004363F7"/>
    <w:rsid w:val="0044525C"/>
    <w:rsid w:val="00445338"/>
    <w:rsid w:val="004553F1"/>
    <w:rsid w:val="00463A55"/>
    <w:rsid w:val="00465E86"/>
    <w:rsid w:val="00471C1F"/>
    <w:rsid w:val="004809FA"/>
    <w:rsid w:val="004B3188"/>
    <w:rsid w:val="004C4A75"/>
    <w:rsid w:val="004D1430"/>
    <w:rsid w:val="004D2DA0"/>
    <w:rsid w:val="004D7DEF"/>
    <w:rsid w:val="004E14A4"/>
    <w:rsid w:val="004E669E"/>
    <w:rsid w:val="004F21F6"/>
    <w:rsid w:val="004F54BD"/>
    <w:rsid w:val="004F56C5"/>
    <w:rsid w:val="00506185"/>
    <w:rsid w:val="00511ABF"/>
    <w:rsid w:val="0052079E"/>
    <w:rsid w:val="00523E20"/>
    <w:rsid w:val="005273E3"/>
    <w:rsid w:val="005354D0"/>
    <w:rsid w:val="0054172C"/>
    <w:rsid w:val="0054590F"/>
    <w:rsid w:val="005459EC"/>
    <w:rsid w:val="005473C7"/>
    <w:rsid w:val="00553C30"/>
    <w:rsid w:val="00563D4C"/>
    <w:rsid w:val="005718B5"/>
    <w:rsid w:val="005808FB"/>
    <w:rsid w:val="005811F8"/>
    <w:rsid w:val="00582605"/>
    <w:rsid w:val="00591016"/>
    <w:rsid w:val="00597CFD"/>
    <w:rsid w:val="005B3D80"/>
    <w:rsid w:val="005B3F67"/>
    <w:rsid w:val="005D3757"/>
    <w:rsid w:val="005D548F"/>
    <w:rsid w:val="005D6EF5"/>
    <w:rsid w:val="005E3A10"/>
    <w:rsid w:val="005E7509"/>
    <w:rsid w:val="005F156C"/>
    <w:rsid w:val="00601D7F"/>
    <w:rsid w:val="00605A4C"/>
    <w:rsid w:val="00645B8B"/>
    <w:rsid w:val="00655044"/>
    <w:rsid w:val="006551DD"/>
    <w:rsid w:val="00666922"/>
    <w:rsid w:val="00670F17"/>
    <w:rsid w:val="006710C7"/>
    <w:rsid w:val="00675CB0"/>
    <w:rsid w:val="00690222"/>
    <w:rsid w:val="00696A83"/>
    <w:rsid w:val="006C580A"/>
    <w:rsid w:val="006D1E69"/>
    <w:rsid w:val="006E0E38"/>
    <w:rsid w:val="006E31AB"/>
    <w:rsid w:val="006E68CE"/>
    <w:rsid w:val="006F057C"/>
    <w:rsid w:val="006F22DA"/>
    <w:rsid w:val="006F2A13"/>
    <w:rsid w:val="006F2EB3"/>
    <w:rsid w:val="007116B1"/>
    <w:rsid w:val="00714BEE"/>
    <w:rsid w:val="007161E1"/>
    <w:rsid w:val="00721215"/>
    <w:rsid w:val="007400CF"/>
    <w:rsid w:val="0076338C"/>
    <w:rsid w:val="00773E48"/>
    <w:rsid w:val="0079405F"/>
    <w:rsid w:val="007A1D5B"/>
    <w:rsid w:val="007B23FC"/>
    <w:rsid w:val="007C2F67"/>
    <w:rsid w:val="007D0C1D"/>
    <w:rsid w:val="007D2000"/>
    <w:rsid w:val="007D3493"/>
    <w:rsid w:val="007D4DBF"/>
    <w:rsid w:val="007E34A5"/>
    <w:rsid w:val="007E4732"/>
    <w:rsid w:val="007E4BA4"/>
    <w:rsid w:val="007E7F09"/>
    <w:rsid w:val="007F004E"/>
    <w:rsid w:val="007F335A"/>
    <w:rsid w:val="00803104"/>
    <w:rsid w:val="00812901"/>
    <w:rsid w:val="00826B9A"/>
    <w:rsid w:val="00837508"/>
    <w:rsid w:val="00842757"/>
    <w:rsid w:val="00842BD7"/>
    <w:rsid w:val="00843CC2"/>
    <w:rsid w:val="008467A3"/>
    <w:rsid w:val="00847576"/>
    <w:rsid w:val="0085266D"/>
    <w:rsid w:val="00872157"/>
    <w:rsid w:val="008818C0"/>
    <w:rsid w:val="008A5AA0"/>
    <w:rsid w:val="008E224D"/>
    <w:rsid w:val="00910831"/>
    <w:rsid w:val="009115AD"/>
    <w:rsid w:val="0092530B"/>
    <w:rsid w:val="009320F0"/>
    <w:rsid w:val="009341A6"/>
    <w:rsid w:val="0094208C"/>
    <w:rsid w:val="00942F17"/>
    <w:rsid w:val="00943236"/>
    <w:rsid w:val="00952CEF"/>
    <w:rsid w:val="00955421"/>
    <w:rsid w:val="00990E9C"/>
    <w:rsid w:val="00994542"/>
    <w:rsid w:val="00994908"/>
    <w:rsid w:val="009B160B"/>
    <w:rsid w:val="009B7154"/>
    <w:rsid w:val="009C237B"/>
    <w:rsid w:val="009C3709"/>
    <w:rsid w:val="009E5A93"/>
    <w:rsid w:val="009F3154"/>
    <w:rsid w:val="00A048EA"/>
    <w:rsid w:val="00A1211C"/>
    <w:rsid w:val="00A16895"/>
    <w:rsid w:val="00A20113"/>
    <w:rsid w:val="00A20D78"/>
    <w:rsid w:val="00A2215F"/>
    <w:rsid w:val="00A22839"/>
    <w:rsid w:val="00A23E19"/>
    <w:rsid w:val="00A33185"/>
    <w:rsid w:val="00A34EB5"/>
    <w:rsid w:val="00A41686"/>
    <w:rsid w:val="00A53B04"/>
    <w:rsid w:val="00A661F4"/>
    <w:rsid w:val="00A66326"/>
    <w:rsid w:val="00A7271A"/>
    <w:rsid w:val="00A74D79"/>
    <w:rsid w:val="00A81E19"/>
    <w:rsid w:val="00A85FA3"/>
    <w:rsid w:val="00A95874"/>
    <w:rsid w:val="00A9723B"/>
    <w:rsid w:val="00AB795F"/>
    <w:rsid w:val="00AC17EE"/>
    <w:rsid w:val="00AC264F"/>
    <w:rsid w:val="00AC6312"/>
    <w:rsid w:val="00AD1E77"/>
    <w:rsid w:val="00AD6D80"/>
    <w:rsid w:val="00AF2980"/>
    <w:rsid w:val="00B1160D"/>
    <w:rsid w:val="00B139FB"/>
    <w:rsid w:val="00B243E6"/>
    <w:rsid w:val="00B25DE7"/>
    <w:rsid w:val="00B269CF"/>
    <w:rsid w:val="00B365C5"/>
    <w:rsid w:val="00B4332A"/>
    <w:rsid w:val="00B444E6"/>
    <w:rsid w:val="00B477C4"/>
    <w:rsid w:val="00B50732"/>
    <w:rsid w:val="00B52011"/>
    <w:rsid w:val="00B53EFF"/>
    <w:rsid w:val="00B54AFA"/>
    <w:rsid w:val="00B671A4"/>
    <w:rsid w:val="00B804E8"/>
    <w:rsid w:val="00BA10A6"/>
    <w:rsid w:val="00BC206C"/>
    <w:rsid w:val="00BC431A"/>
    <w:rsid w:val="00BC5AA8"/>
    <w:rsid w:val="00BE06FA"/>
    <w:rsid w:val="00BF0708"/>
    <w:rsid w:val="00BF5AFA"/>
    <w:rsid w:val="00C01A35"/>
    <w:rsid w:val="00C03772"/>
    <w:rsid w:val="00C04EDA"/>
    <w:rsid w:val="00C119A2"/>
    <w:rsid w:val="00C238AA"/>
    <w:rsid w:val="00C53D14"/>
    <w:rsid w:val="00C53F1A"/>
    <w:rsid w:val="00C57267"/>
    <w:rsid w:val="00C6005B"/>
    <w:rsid w:val="00C616FF"/>
    <w:rsid w:val="00C62B63"/>
    <w:rsid w:val="00C67335"/>
    <w:rsid w:val="00C72B5B"/>
    <w:rsid w:val="00C736FA"/>
    <w:rsid w:val="00C827E1"/>
    <w:rsid w:val="00C869F3"/>
    <w:rsid w:val="00CA2458"/>
    <w:rsid w:val="00CA77F2"/>
    <w:rsid w:val="00CB38BD"/>
    <w:rsid w:val="00CC18AC"/>
    <w:rsid w:val="00CD7D5D"/>
    <w:rsid w:val="00CF0621"/>
    <w:rsid w:val="00CF0FC4"/>
    <w:rsid w:val="00CF6932"/>
    <w:rsid w:val="00D01FE3"/>
    <w:rsid w:val="00D0381E"/>
    <w:rsid w:val="00D06CA3"/>
    <w:rsid w:val="00D07F46"/>
    <w:rsid w:val="00D170E5"/>
    <w:rsid w:val="00D176CE"/>
    <w:rsid w:val="00D37F2F"/>
    <w:rsid w:val="00D415B9"/>
    <w:rsid w:val="00D528E8"/>
    <w:rsid w:val="00D771D0"/>
    <w:rsid w:val="00D835CF"/>
    <w:rsid w:val="00D87D4E"/>
    <w:rsid w:val="00D97EBB"/>
    <w:rsid w:val="00DA26FB"/>
    <w:rsid w:val="00DA36BE"/>
    <w:rsid w:val="00DA5856"/>
    <w:rsid w:val="00DB39E0"/>
    <w:rsid w:val="00DB6C3D"/>
    <w:rsid w:val="00DC5ACF"/>
    <w:rsid w:val="00DD249C"/>
    <w:rsid w:val="00DD3573"/>
    <w:rsid w:val="00DD7468"/>
    <w:rsid w:val="00DE25E9"/>
    <w:rsid w:val="00DE71D3"/>
    <w:rsid w:val="00DE72CF"/>
    <w:rsid w:val="00DF08A0"/>
    <w:rsid w:val="00E11C7B"/>
    <w:rsid w:val="00E13BEF"/>
    <w:rsid w:val="00E21A2D"/>
    <w:rsid w:val="00E571AE"/>
    <w:rsid w:val="00E644BF"/>
    <w:rsid w:val="00E70760"/>
    <w:rsid w:val="00E75D28"/>
    <w:rsid w:val="00E811C6"/>
    <w:rsid w:val="00E9253C"/>
    <w:rsid w:val="00EB12B9"/>
    <w:rsid w:val="00EB3CF0"/>
    <w:rsid w:val="00EB45B5"/>
    <w:rsid w:val="00EB5E57"/>
    <w:rsid w:val="00EB61DB"/>
    <w:rsid w:val="00EB6E27"/>
    <w:rsid w:val="00ED1AD0"/>
    <w:rsid w:val="00ED2273"/>
    <w:rsid w:val="00ED4AFD"/>
    <w:rsid w:val="00ED6776"/>
    <w:rsid w:val="00EE4FBE"/>
    <w:rsid w:val="00EF61A0"/>
    <w:rsid w:val="00F038A1"/>
    <w:rsid w:val="00F03A0E"/>
    <w:rsid w:val="00F06E4E"/>
    <w:rsid w:val="00F35533"/>
    <w:rsid w:val="00F51E01"/>
    <w:rsid w:val="00F5285A"/>
    <w:rsid w:val="00F54849"/>
    <w:rsid w:val="00F5649A"/>
    <w:rsid w:val="00F67DC5"/>
    <w:rsid w:val="00F82342"/>
    <w:rsid w:val="00F877DB"/>
    <w:rsid w:val="00F91AE4"/>
    <w:rsid w:val="00F93C8B"/>
    <w:rsid w:val="00F959DD"/>
    <w:rsid w:val="00F960D5"/>
    <w:rsid w:val="00FB1231"/>
    <w:rsid w:val="00FC04C8"/>
    <w:rsid w:val="00FC0C20"/>
    <w:rsid w:val="00FC1C5C"/>
    <w:rsid w:val="00FD2A08"/>
    <w:rsid w:val="00FE17E2"/>
    <w:rsid w:val="00FF15A4"/>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4B3188"/>
    <w:rPr>
      <w:color w:val="605E5C"/>
      <w:shd w:val="clear" w:color="auto" w:fill="E1DFDD"/>
    </w:rPr>
  </w:style>
  <w:style w:type="paragraph" w:customStyle="1" w:styleId="ParagraphNumbering">
    <w:name w:val="Paragraph Numbering"/>
    <w:basedOn w:val="Normal"/>
    <w:rsid w:val="005F156C"/>
    <w:pPr>
      <w:keepNext/>
      <w:numPr>
        <w:ilvl w:val="1"/>
        <w:numId w:val="7"/>
      </w:numPr>
      <w:spacing w:before="240" w:after="120"/>
    </w:pPr>
    <w:rPr>
      <w:rFonts w:eastAsiaTheme="minorHAnsi" w:cs="Arial"/>
      <w:sz w:val="22"/>
      <w:szCs w:val="22"/>
      <w:lang w:eastAsia="en-GB"/>
    </w:rPr>
  </w:style>
  <w:style w:type="paragraph" w:customStyle="1" w:styleId="ERParanumbering">
    <w:name w:val="ER Para numbering"/>
    <w:basedOn w:val="Normal"/>
    <w:rsid w:val="005F156C"/>
    <w:pPr>
      <w:keepNext/>
      <w:numPr>
        <w:numId w:val="7"/>
      </w:numPr>
      <w:spacing w:before="240" w:after="120"/>
    </w:pPr>
    <w:rPr>
      <w:rFonts w:eastAsiaTheme="minorHAnsi" w:cs="Arial"/>
      <w:sz w:val="22"/>
      <w:szCs w:val="22"/>
      <w:lang w:eastAsia="en-GB"/>
    </w:rPr>
  </w:style>
  <w:style w:type="character" w:customStyle="1" w:styleId="st1">
    <w:name w:val="st1"/>
    <w:basedOn w:val="DefaultParagraphFont"/>
    <w:rsid w:val="00563D4C"/>
  </w:style>
  <w:style w:type="character" w:styleId="Emphasis">
    <w:name w:val="Emphasis"/>
    <w:basedOn w:val="DefaultParagraphFont"/>
    <w:uiPriority w:val="20"/>
    <w:qFormat/>
    <w:rsid w:val="00563D4C"/>
    <w:rPr>
      <w:b/>
      <w:bCs/>
      <w:i w:val="0"/>
      <w:iCs w:val="0"/>
    </w:rPr>
  </w:style>
  <w:style w:type="character" w:styleId="CommentReference">
    <w:name w:val="annotation reference"/>
    <w:basedOn w:val="DefaultParagraphFont"/>
    <w:semiHidden/>
    <w:unhideWhenUsed/>
    <w:rsid w:val="00DA5856"/>
    <w:rPr>
      <w:sz w:val="16"/>
      <w:szCs w:val="16"/>
    </w:rPr>
  </w:style>
  <w:style w:type="paragraph" w:styleId="CommentText">
    <w:name w:val="annotation text"/>
    <w:basedOn w:val="Normal"/>
    <w:link w:val="CommentTextChar"/>
    <w:semiHidden/>
    <w:unhideWhenUsed/>
    <w:rsid w:val="00DA5856"/>
    <w:rPr>
      <w:sz w:val="20"/>
    </w:rPr>
  </w:style>
  <w:style w:type="character" w:customStyle="1" w:styleId="CommentTextChar">
    <w:name w:val="Comment Text Char"/>
    <w:basedOn w:val="DefaultParagraphFont"/>
    <w:link w:val="CommentText"/>
    <w:semiHidden/>
    <w:rsid w:val="00DA5856"/>
    <w:rPr>
      <w:rFonts w:ascii="Arial" w:hAnsi="Arial"/>
      <w:lang w:eastAsia="en-US"/>
    </w:rPr>
  </w:style>
  <w:style w:type="paragraph" w:styleId="CommentSubject">
    <w:name w:val="annotation subject"/>
    <w:basedOn w:val="CommentText"/>
    <w:next w:val="CommentText"/>
    <w:link w:val="CommentSubjectChar"/>
    <w:semiHidden/>
    <w:unhideWhenUsed/>
    <w:rsid w:val="00DA5856"/>
    <w:rPr>
      <w:b/>
      <w:bCs/>
    </w:rPr>
  </w:style>
  <w:style w:type="character" w:customStyle="1" w:styleId="CommentSubjectChar">
    <w:name w:val="Comment Subject Char"/>
    <w:basedOn w:val="CommentTextChar"/>
    <w:link w:val="CommentSubject"/>
    <w:semiHidden/>
    <w:rsid w:val="00DA5856"/>
    <w:rPr>
      <w:rFonts w:ascii="Arial" w:hAnsi="Arial"/>
      <w:b/>
      <w:bCs/>
      <w:lang w:eastAsia="en-US"/>
    </w:rPr>
  </w:style>
  <w:style w:type="paragraph" w:styleId="Revision">
    <w:name w:val="Revision"/>
    <w:hidden/>
    <w:uiPriority w:val="99"/>
    <w:semiHidden/>
    <w:rsid w:val="00FC04C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7515">
      <w:bodyDiv w:val="1"/>
      <w:marLeft w:val="0"/>
      <w:marRight w:val="0"/>
      <w:marTop w:val="0"/>
      <w:marBottom w:val="0"/>
      <w:divBdr>
        <w:top w:val="none" w:sz="0" w:space="0" w:color="auto"/>
        <w:left w:val="none" w:sz="0" w:space="0" w:color="auto"/>
        <w:bottom w:val="none" w:sz="0" w:space="0" w:color="auto"/>
        <w:right w:val="none" w:sz="0" w:space="0" w:color="auto"/>
      </w:divBdr>
      <w:divsChild>
        <w:div w:id="732895951">
          <w:marLeft w:val="0"/>
          <w:marRight w:val="0"/>
          <w:marTop w:val="0"/>
          <w:marBottom w:val="0"/>
          <w:divBdr>
            <w:top w:val="none" w:sz="0" w:space="0" w:color="auto"/>
            <w:left w:val="none" w:sz="0" w:space="0" w:color="auto"/>
            <w:bottom w:val="none" w:sz="0" w:space="0" w:color="auto"/>
            <w:right w:val="none" w:sz="0" w:space="0" w:color="auto"/>
          </w:divBdr>
        </w:div>
      </w:divsChild>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75642909">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015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gov.uk/government/publications/alcohol-and-drug-prevention-treatment-and-recovery-why-invest/alcohol-and-drug-prevention-treatment-and-recovery-why-inves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statistics/substance-misuse-treatment-for-young-people-statistics-2019-to-2020/young-peoples-substance-misuse-treatment-statistics-2019-to-2020-report" TargetMode="External"/><Relationship Id="rId2" Type="http://schemas.openxmlformats.org/officeDocument/2006/relationships/customXml" Target="../customXml/item2.xml"/><Relationship Id="rId16" Type="http://schemas.openxmlformats.org/officeDocument/2006/relationships/hyperlink" Target="https://www.compass-uk.org/services/harrow-young-peoples-substance-misuse-serv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public-health-grants-to-local-authorities-2020-to-2021"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Laurence.Gibson@harro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6E1A8C82-D22C-4135-9A81-FB4C29D6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2504</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17521</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4</cp:revision>
  <cp:lastPrinted>2014-10-31T16:34:00Z</cp:lastPrinted>
  <dcterms:created xsi:type="dcterms:W3CDTF">2021-09-13T13:15:00Z</dcterms:created>
  <dcterms:modified xsi:type="dcterms:W3CDTF">2021-09-15T14:45:00Z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